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B780F" w:rsidP="00E81155">
      <w:pPr>
        <w:rPr>
          <w:rFonts w:ascii="Arial" w:hAnsi="Arial" w:cs="Arial"/>
          <w:b/>
          <w:sz w:val="28"/>
          <w:szCs w:val="28"/>
        </w:rPr>
      </w:pPr>
      <w:r>
        <w:rPr>
          <w:rFonts w:ascii="Arial" w:hAnsi="Arial" w:cs="Arial"/>
          <w:b/>
          <w:sz w:val="28"/>
          <w:szCs w:val="28"/>
        </w:rPr>
        <w:t xml:space="preserve">DELOITTE’S </w:t>
      </w:r>
      <w:r w:rsidR="00802DD0">
        <w:rPr>
          <w:rFonts w:ascii="Arial" w:hAnsi="Arial" w:cs="Arial"/>
          <w:b/>
          <w:sz w:val="28"/>
          <w:szCs w:val="28"/>
        </w:rPr>
        <w:t xml:space="preserve">INTANGIBLE ASSET </w:t>
      </w:r>
      <w:r>
        <w:rPr>
          <w:rFonts w:ascii="Arial" w:hAnsi="Arial" w:cs="Arial"/>
          <w:b/>
          <w:sz w:val="28"/>
          <w:szCs w:val="28"/>
        </w:rPr>
        <w:t>CLIENTS</w:t>
      </w:r>
      <w:r w:rsidR="00802DD0">
        <w:rPr>
          <w:rFonts w:ascii="Arial" w:hAnsi="Arial" w:cs="Arial"/>
          <w:b/>
          <w:sz w:val="28"/>
          <w:szCs w:val="28"/>
        </w:rPr>
        <w:t xml:space="preserve"> REVISITED</w:t>
      </w:r>
    </w:p>
    <w:p w:rsidR="00C878FF" w:rsidRDefault="00C878FF"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02DD0">
        <w:rPr>
          <w:rFonts w:ascii="Arial" w:hAnsi="Arial" w:cs="Arial"/>
          <w:b/>
          <w:i/>
          <w:sz w:val="24"/>
          <w:szCs w:val="24"/>
        </w:rPr>
        <w:t>September 2012</w:t>
      </w:r>
    </w:p>
    <w:p w:rsidR="0050716A" w:rsidRDefault="0050716A" w:rsidP="00D7299A">
      <w:pPr>
        <w:rPr>
          <w:rFonts w:ascii="Verdana" w:hAnsi="Verdana"/>
          <w:sz w:val="24"/>
          <w:szCs w:val="24"/>
        </w:rPr>
      </w:pPr>
    </w:p>
    <w:p w:rsidR="00940E89" w:rsidRDefault="00940E89" w:rsidP="00041249">
      <w:pPr>
        <w:rPr>
          <w:rFonts w:ascii="Verdana" w:hAnsi="Verdana"/>
          <w:sz w:val="24"/>
          <w:szCs w:val="24"/>
        </w:rPr>
      </w:pPr>
      <w:r>
        <w:rPr>
          <w:rFonts w:ascii="Verdana" w:hAnsi="Verdana"/>
          <w:sz w:val="24"/>
          <w:szCs w:val="24"/>
        </w:rPr>
        <w:t>Recently, we enjoyed a wonderful article titled “</w:t>
      </w:r>
      <w:hyperlink r:id="rId5" w:history="1">
        <w:r w:rsidRPr="00940E89">
          <w:rPr>
            <w:rStyle w:val="Hyperlink"/>
            <w:rFonts w:ascii="Verdana" w:hAnsi="Verdana"/>
            <w:sz w:val="24"/>
            <w:szCs w:val="24"/>
          </w:rPr>
          <w:t>Buyers Beware: The Goodwill Games,</w:t>
        </w:r>
      </w:hyperlink>
      <w:r>
        <w:rPr>
          <w:rFonts w:ascii="Verdana" w:hAnsi="Verdana"/>
          <w:sz w:val="24"/>
          <w:szCs w:val="24"/>
        </w:rPr>
        <w:t>” by Scott Thurm who discussed an interesting rubric by which to evaluate goodwill</w:t>
      </w:r>
      <w:r w:rsidR="00022B1C">
        <w:rPr>
          <w:rFonts w:ascii="Verdana" w:hAnsi="Verdana"/>
          <w:sz w:val="24"/>
          <w:szCs w:val="24"/>
        </w:rPr>
        <w:t>’s</w:t>
      </w:r>
      <w:r>
        <w:rPr>
          <w:rFonts w:ascii="Verdana" w:hAnsi="Verdana"/>
          <w:sz w:val="24"/>
          <w:szCs w:val="24"/>
        </w:rPr>
        <w:t xml:space="preserve"> value: </w:t>
      </w:r>
      <w:r w:rsidRPr="00940E89">
        <w:rPr>
          <w:rFonts w:ascii="Verdana" w:hAnsi="Verdana"/>
          <w:i/>
          <w:sz w:val="24"/>
          <w:szCs w:val="24"/>
        </w:rPr>
        <w:t xml:space="preserve">the ratio of a company’s goodwill to </w:t>
      </w:r>
      <w:r w:rsidR="00022B1C">
        <w:rPr>
          <w:rFonts w:ascii="Verdana" w:hAnsi="Verdana"/>
          <w:i/>
          <w:sz w:val="24"/>
          <w:szCs w:val="24"/>
        </w:rPr>
        <w:t>the total entity’s</w:t>
      </w:r>
      <w:r w:rsidRPr="00940E89">
        <w:rPr>
          <w:rFonts w:ascii="Verdana" w:hAnsi="Verdana"/>
          <w:i/>
          <w:sz w:val="24"/>
          <w:szCs w:val="24"/>
        </w:rPr>
        <w:t xml:space="preserve"> market value</w:t>
      </w:r>
      <w:r>
        <w:rPr>
          <w:rFonts w:ascii="Verdana" w:hAnsi="Verdana"/>
          <w:sz w:val="24"/>
          <w:szCs w:val="24"/>
        </w:rPr>
        <w:t>.  Thurm seems to suggest that companies whose goodwill exceeds market capitalization may be prime candidates for future write-</w:t>
      </w:r>
      <w:r w:rsidR="003B7832">
        <w:rPr>
          <w:rFonts w:ascii="Verdana" w:hAnsi="Verdana"/>
          <w:sz w:val="24"/>
          <w:szCs w:val="24"/>
        </w:rPr>
        <w:t>downs. Very interesting indeed</w:t>
      </w:r>
      <w:r w:rsidR="00354F1E">
        <w:rPr>
          <w:rFonts w:ascii="Verdana" w:hAnsi="Verdana"/>
          <w:sz w:val="24"/>
          <w:szCs w:val="24"/>
        </w:rPr>
        <w:t xml:space="preserve">, especially as </w:t>
      </w:r>
      <w:r w:rsidR="003B7832">
        <w:rPr>
          <w:rFonts w:ascii="Verdana" w:hAnsi="Verdana"/>
          <w:sz w:val="24"/>
          <w:szCs w:val="24"/>
        </w:rPr>
        <w:t xml:space="preserve">goodwill </w:t>
      </w:r>
      <w:r w:rsidR="00354F1E">
        <w:rPr>
          <w:rFonts w:ascii="Verdana" w:hAnsi="Verdana"/>
          <w:sz w:val="24"/>
          <w:szCs w:val="24"/>
        </w:rPr>
        <w:t xml:space="preserve">is such a queer </w:t>
      </w:r>
      <w:r w:rsidR="003B7832">
        <w:rPr>
          <w:rFonts w:ascii="Verdana" w:hAnsi="Verdana"/>
          <w:sz w:val="24"/>
          <w:szCs w:val="24"/>
        </w:rPr>
        <w:t xml:space="preserve">asset (see </w:t>
      </w:r>
      <w:hyperlink r:id="rId6" w:history="1">
        <w:r w:rsidR="003B7832" w:rsidRPr="003B7832">
          <w:rPr>
            <w:rStyle w:val="Hyperlink"/>
            <w:rFonts w:ascii="Verdana" w:hAnsi="Verdana"/>
            <w:sz w:val="24"/>
            <w:szCs w:val="24"/>
          </w:rPr>
          <w:t>Goodwill Games</w:t>
        </w:r>
      </w:hyperlink>
      <w:r w:rsidR="003B7832">
        <w:rPr>
          <w:rFonts w:ascii="Verdana" w:hAnsi="Verdana"/>
          <w:sz w:val="24"/>
          <w:szCs w:val="24"/>
        </w:rPr>
        <w:t>).</w:t>
      </w:r>
    </w:p>
    <w:p w:rsidR="003B7832" w:rsidRDefault="003B7832" w:rsidP="00041249">
      <w:pPr>
        <w:rPr>
          <w:rFonts w:ascii="Verdana" w:hAnsi="Verdana"/>
          <w:sz w:val="24"/>
          <w:szCs w:val="24"/>
        </w:rPr>
      </w:pPr>
    </w:p>
    <w:p w:rsidR="003B7832" w:rsidRDefault="003B7832" w:rsidP="00041249">
      <w:pPr>
        <w:rPr>
          <w:rFonts w:ascii="Verdana" w:hAnsi="Verdana"/>
          <w:sz w:val="24"/>
          <w:szCs w:val="24"/>
        </w:rPr>
      </w:pPr>
      <w:r>
        <w:rPr>
          <w:rFonts w:ascii="Verdana" w:hAnsi="Verdana"/>
          <w:sz w:val="24"/>
          <w:szCs w:val="24"/>
        </w:rPr>
        <w:t>Thurm’s artic</w:t>
      </w:r>
      <w:r w:rsidR="00022B1C">
        <w:rPr>
          <w:rFonts w:ascii="Verdana" w:hAnsi="Verdana"/>
          <w:sz w:val="24"/>
          <w:szCs w:val="24"/>
        </w:rPr>
        <w:t>le reminded us that it was time to revisit the list of companies that we provided to Deloitte back in November of 2011 to help them with their audits of intangible assets (</w:t>
      </w:r>
      <w:r w:rsidR="00354F1E">
        <w:rPr>
          <w:rFonts w:ascii="Verdana" w:hAnsi="Verdana"/>
          <w:sz w:val="24"/>
          <w:szCs w:val="24"/>
        </w:rPr>
        <w:t>in</w:t>
      </w:r>
      <w:r w:rsidR="00022B1C">
        <w:rPr>
          <w:rFonts w:ascii="Verdana" w:hAnsi="Verdana"/>
          <w:sz w:val="24"/>
          <w:szCs w:val="24"/>
        </w:rPr>
        <w:t xml:space="preserve"> </w:t>
      </w:r>
      <w:r w:rsidR="00354F1E">
        <w:rPr>
          <w:rFonts w:ascii="Verdana" w:hAnsi="Verdana"/>
          <w:sz w:val="24"/>
          <w:szCs w:val="24"/>
        </w:rPr>
        <w:t>“</w:t>
      </w:r>
      <w:hyperlink r:id="rId7" w:history="1">
        <w:r w:rsidR="00022B1C" w:rsidRPr="00022B1C">
          <w:rPr>
            <w:rStyle w:val="Hyperlink"/>
            <w:rFonts w:ascii="Verdana" w:hAnsi="Verdana"/>
            <w:sz w:val="24"/>
            <w:szCs w:val="24"/>
          </w:rPr>
          <w:t>Are Fourth Quarter Write-Offs Looming for Deloitte’s Clients?</w:t>
        </w:r>
      </w:hyperlink>
      <w:r w:rsidR="00022B1C">
        <w:rPr>
          <w:rFonts w:ascii="Verdana" w:hAnsi="Verdana"/>
          <w:sz w:val="24"/>
          <w:szCs w:val="24"/>
        </w:rPr>
        <w:t>”</w:t>
      </w:r>
      <w:r w:rsidR="00354F1E">
        <w:rPr>
          <w:rFonts w:ascii="Verdana" w:hAnsi="Verdana"/>
          <w:sz w:val="24"/>
          <w:szCs w:val="24"/>
        </w:rPr>
        <w:t xml:space="preserve">  We wanted to know how many firms in our suggested list of write-off candidates actually recorded goodwill impairment.</w:t>
      </w:r>
    </w:p>
    <w:p w:rsidR="00911D65" w:rsidRDefault="00911D65" w:rsidP="00041249">
      <w:pPr>
        <w:rPr>
          <w:rFonts w:ascii="Verdana" w:hAnsi="Verdana"/>
          <w:sz w:val="24"/>
          <w:szCs w:val="24"/>
        </w:rPr>
      </w:pPr>
    </w:p>
    <w:p w:rsidR="002D30FA" w:rsidRDefault="00911D65" w:rsidP="00041249">
      <w:pPr>
        <w:rPr>
          <w:rFonts w:ascii="Verdana" w:hAnsi="Verdana"/>
          <w:sz w:val="24"/>
          <w:szCs w:val="24"/>
        </w:rPr>
      </w:pPr>
      <w:r>
        <w:rPr>
          <w:rFonts w:ascii="Verdana" w:hAnsi="Verdana"/>
          <w:sz w:val="24"/>
          <w:szCs w:val="24"/>
        </w:rPr>
        <w:t>As you may recall, we applied simple intuition and financial analysis to create a list of 24 companies</w:t>
      </w:r>
      <w:r w:rsidR="00354F1E">
        <w:rPr>
          <w:rFonts w:ascii="Verdana" w:hAnsi="Verdana"/>
          <w:sz w:val="24"/>
          <w:szCs w:val="24"/>
        </w:rPr>
        <w:t xml:space="preserve">, </w:t>
      </w:r>
      <w:r>
        <w:rPr>
          <w:rFonts w:ascii="Verdana" w:hAnsi="Verdana"/>
          <w:sz w:val="24"/>
          <w:szCs w:val="24"/>
        </w:rPr>
        <w:t>based on their relative level of intangible assets and anemic returns on equity (ROE), that we asserted were at significant risk for some type of impairment charge in 2011.  We</w:t>
      </w:r>
      <w:r w:rsidR="00354F1E">
        <w:rPr>
          <w:rFonts w:ascii="Verdana" w:hAnsi="Verdana"/>
          <w:sz w:val="24"/>
          <w:szCs w:val="24"/>
        </w:rPr>
        <w:t xml:space="preserve"> found that, o</w:t>
      </w:r>
      <w:r>
        <w:rPr>
          <w:rFonts w:ascii="Verdana" w:hAnsi="Verdana"/>
          <w:sz w:val="24"/>
          <w:szCs w:val="24"/>
        </w:rPr>
        <w:t>f the 24 companies we</w:t>
      </w:r>
      <w:r w:rsidR="00354F1E">
        <w:rPr>
          <w:rFonts w:ascii="Verdana" w:hAnsi="Verdana"/>
          <w:sz w:val="24"/>
          <w:szCs w:val="24"/>
        </w:rPr>
        <w:t xml:space="preserve"> enumerated</w:t>
      </w:r>
      <w:r>
        <w:rPr>
          <w:rFonts w:ascii="Verdana" w:hAnsi="Verdana"/>
          <w:sz w:val="24"/>
          <w:szCs w:val="24"/>
        </w:rPr>
        <w:t>, 9 (37.5 percent) reported some type of earnings charge for impairment of goodwill or other intangibles during 2011.  So, it appears that common sense and fundamental financial</w:t>
      </w:r>
      <w:r w:rsidR="00675050">
        <w:rPr>
          <w:rFonts w:ascii="Verdana" w:hAnsi="Verdana"/>
          <w:sz w:val="24"/>
          <w:szCs w:val="24"/>
        </w:rPr>
        <w:t xml:space="preserve"> statement analysis may have won</w:t>
      </w:r>
      <w:r>
        <w:rPr>
          <w:rFonts w:ascii="Verdana" w:hAnsi="Verdana"/>
          <w:sz w:val="24"/>
          <w:szCs w:val="24"/>
        </w:rPr>
        <w:t xml:space="preserve"> out over auditing, yet again!  Maybe the FASB shoul</w:t>
      </w:r>
      <w:r w:rsidR="002D30FA">
        <w:rPr>
          <w:rFonts w:ascii="Verdana" w:hAnsi="Verdana"/>
          <w:sz w:val="24"/>
          <w:szCs w:val="24"/>
        </w:rPr>
        <w:t xml:space="preserve">d add these two traits to their </w:t>
      </w:r>
      <w:r>
        <w:rPr>
          <w:rFonts w:ascii="Verdana" w:hAnsi="Verdana"/>
          <w:sz w:val="24"/>
          <w:szCs w:val="24"/>
        </w:rPr>
        <w:t xml:space="preserve">“qualitative criteria” for </w:t>
      </w:r>
      <w:r w:rsidR="002D30FA">
        <w:rPr>
          <w:rFonts w:ascii="Verdana" w:hAnsi="Verdana"/>
          <w:sz w:val="24"/>
          <w:szCs w:val="24"/>
        </w:rPr>
        <w:t>evaluating goodwill impairment</w:t>
      </w:r>
      <w:r w:rsidR="00354F1E">
        <w:rPr>
          <w:rFonts w:ascii="Verdana" w:hAnsi="Verdana"/>
          <w:sz w:val="24"/>
          <w:szCs w:val="24"/>
        </w:rPr>
        <w:t>—and Thurm’s as well</w:t>
      </w:r>
      <w:r w:rsidR="005D2BA4">
        <w:rPr>
          <w:rFonts w:ascii="Verdana" w:hAnsi="Verdana"/>
          <w:sz w:val="24"/>
          <w:szCs w:val="24"/>
        </w:rPr>
        <w:t>.</w:t>
      </w:r>
    </w:p>
    <w:p w:rsidR="002D30FA" w:rsidRDefault="002D30FA" w:rsidP="00041249">
      <w:pPr>
        <w:rPr>
          <w:rFonts w:ascii="Verdana" w:hAnsi="Verdana"/>
          <w:sz w:val="24"/>
          <w:szCs w:val="24"/>
        </w:rPr>
      </w:pPr>
    </w:p>
    <w:p w:rsidR="002D30FA" w:rsidRDefault="002D30FA" w:rsidP="00041249">
      <w:pPr>
        <w:rPr>
          <w:rFonts w:ascii="Verdana" w:hAnsi="Verdana"/>
          <w:sz w:val="24"/>
          <w:szCs w:val="24"/>
        </w:rPr>
      </w:pPr>
      <w:r>
        <w:rPr>
          <w:rFonts w:ascii="Verdana" w:hAnsi="Verdana"/>
          <w:sz w:val="24"/>
          <w:szCs w:val="24"/>
        </w:rPr>
        <w:t xml:space="preserve">To assess impairment charges for our 24 company listing, we again turned to </w:t>
      </w:r>
      <w:r w:rsidR="005A5F04">
        <w:rPr>
          <w:rFonts w:ascii="Verdana" w:hAnsi="Verdana"/>
          <w:sz w:val="24"/>
          <w:szCs w:val="24"/>
        </w:rPr>
        <w:t>the Wharton Research Data Services COMPUSTAT North America</w:t>
      </w:r>
      <w:r w:rsidR="00D65F1B">
        <w:rPr>
          <w:rFonts w:ascii="Verdana" w:hAnsi="Verdana"/>
          <w:sz w:val="24"/>
          <w:szCs w:val="24"/>
        </w:rPr>
        <w:t xml:space="preserve"> (WRDS)</w:t>
      </w:r>
      <w:r w:rsidR="005A5F04">
        <w:rPr>
          <w:rFonts w:ascii="Verdana" w:hAnsi="Verdana"/>
          <w:sz w:val="24"/>
          <w:szCs w:val="24"/>
        </w:rPr>
        <w:t xml:space="preserve"> data set to </w:t>
      </w:r>
      <w:r w:rsidR="00B34388">
        <w:rPr>
          <w:rFonts w:ascii="Verdana" w:hAnsi="Verdana"/>
          <w:sz w:val="24"/>
          <w:szCs w:val="24"/>
        </w:rPr>
        <w:t>search for P&amp;L charges</w:t>
      </w:r>
      <w:r>
        <w:rPr>
          <w:rFonts w:ascii="Verdana" w:hAnsi="Verdana"/>
          <w:sz w:val="24"/>
          <w:szCs w:val="24"/>
        </w:rPr>
        <w:t xml:space="preserve"> for the following variables:</w:t>
      </w:r>
      <w:r w:rsidR="00B34388">
        <w:rPr>
          <w:rFonts w:ascii="Verdana" w:hAnsi="Verdana"/>
          <w:sz w:val="24"/>
          <w:szCs w:val="24"/>
        </w:rPr>
        <w:t xml:space="preserve"> pre-tax goodwill impairments (GDWLIP) , pre-tax restructuring costs (RCP), and pre-tax write-downs (WDP).  And we were not disappointed!  The following nine companies reported intangible related earnings charges</w:t>
      </w:r>
      <w:r w:rsidR="002B0ED6">
        <w:rPr>
          <w:rFonts w:ascii="Verdana" w:hAnsi="Verdana"/>
          <w:sz w:val="24"/>
          <w:szCs w:val="24"/>
        </w:rPr>
        <w:t xml:space="preserve"> (in millions of dollars)</w:t>
      </w:r>
      <w:r w:rsidR="00B34388">
        <w:rPr>
          <w:rFonts w:ascii="Verdana" w:hAnsi="Verdana"/>
          <w:sz w:val="24"/>
          <w:szCs w:val="24"/>
        </w:rPr>
        <w:t>.</w:t>
      </w:r>
    </w:p>
    <w:p w:rsidR="005D2BA4" w:rsidRDefault="005D2BA4" w:rsidP="00041249">
      <w:pPr>
        <w:rPr>
          <w:rFonts w:ascii="Verdana" w:hAnsi="Verdana"/>
          <w:sz w:val="24"/>
          <w:szCs w:val="24"/>
        </w:rPr>
      </w:pPr>
    </w:p>
    <w:tbl>
      <w:tblPr>
        <w:tblStyle w:val="TableGrid"/>
        <w:tblW w:w="0" w:type="auto"/>
        <w:tblLook w:val="04A0"/>
      </w:tblPr>
      <w:tblGrid>
        <w:gridCol w:w="4158"/>
        <w:gridCol w:w="2520"/>
        <w:gridCol w:w="2898"/>
      </w:tblGrid>
      <w:tr w:rsidR="00C87B09" w:rsidRPr="005D2BA4" w:rsidTr="002B0ED6">
        <w:tc>
          <w:tcPr>
            <w:tcW w:w="4158" w:type="dxa"/>
          </w:tcPr>
          <w:p w:rsidR="005D2BA4" w:rsidRDefault="005D2BA4" w:rsidP="005D2BA4">
            <w:pPr>
              <w:jc w:val="center"/>
              <w:rPr>
                <w:rFonts w:ascii="Verdana" w:hAnsi="Verdana"/>
                <w:b/>
                <w:sz w:val="24"/>
                <w:szCs w:val="24"/>
              </w:rPr>
            </w:pPr>
          </w:p>
          <w:p w:rsidR="00C87B09" w:rsidRPr="005D2BA4" w:rsidRDefault="00C87B09" w:rsidP="005D2BA4">
            <w:pPr>
              <w:jc w:val="center"/>
              <w:rPr>
                <w:rFonts w:ascii="Verdana" w:hAnsi="Verdana"/>
                <w:b/>
                <w:sz w:val="24"/>
                <w:szCs w:val="24"/>
              </w:rPr>
            </w:pPr>
            <w:r w:rsidRPr="005D2BA4">
              <w:rPr>
                <w:rFonts w:ascii="Verdana" w:hAnsi="Verdana"/>
                <w:b/>
                <w:sz w:val="24"/>
                <w:szCs w:val="24"/>
              </w:rPr>
              <w:t>Company</w:t>
            </w:r>
          </w:p>
        </w:tc>
        <w:tc>
          <w:tcPr>
            <w:tcW w:w="2520" w:type="dxa"/>
          </w:tcPr>
          <w:p w:rsidR="005D2BA4" w:rsidRPr="005D2BA4" w:rsidRDefault="002B0ED6" w:rsidP="002B0ED6">
            <w:pPr>
              <w:jc w:val="center"/>
              <w:rPr>
                <w:rFonts w:ascii="Verdana" w:hAnsi="Verdana"/>
                <w:b/>
                <w:sz w:val="24"/>
                <w:szCs w:val="24"/>
              </w:rPr>
            </w:pPr>
            <w:r>
              <w:rPr>
                <w:rFonts w:ascii="Verdana" w:hAnsi="Verdana"/>
                <w:b/>
                <w:sz w:val="24"/>
                <w:szCs w:val="24"/>
              </w:rPr>
              <w:t xml:space="preserve">Intangible </w:t>
            </w:r>
            <w:r w:rsidR="00C87B09" w:rsidRPr="005D2BA4">
              <w:rPr>
                <w:rFonts w:ascii="Verdana" w:hAnsi="Verdana"/>
                <w:b/>
                <w:sz w:val="24"/>
                <w:szCs w:val="24"/>
              </w:rPr>
              <w:t>Charge</w:t>
            </w:r>
            <w:r>
              <w:rPr>
                <w:rFonts w:ascii="Verdana" w:hAnsi="Verdana"/>
                <w:b/>
                <w:sz w:val="24"/>
                <w:szCs w:val="24"/>
              </w:rPr>
              <w:t xml:space="preserve"> (pretax)</w:t>
            </w:r>
          </w:p>
        </w:tc>
        <w:tc>
          <w:tcPr>
            <w:tcW w:w="2898" w:type="dxa"/>
          </w:tcPr>
          <w:p w:rsidR="00C87B09" w:rsidRPr="005D2BA4" w:rsidRDefault="002B0ED6" w:rsidP="002B0ED6">
            <w:pPr>
              <w:jc w:val="center"/>
              <w:rPr>
                <w:rFonts w:ascii="Verdana" w:hAnsi="Verdana"/>
                <w:b/>
                <w:sz w:val="24"/>
                <w:szCs w:val="24"/>
              </w:rPr>
            </w:pPr>
            <w:r>
              <w:rPr>
                <w:rFonts w:ascii="Verdana" w:hAnsi="Verdana"/>
                <w:b/>
                <w:sz w:val="24"/>
                <w:szCs w:val="24"/>
              </w:rPr>
              <w:t>Goodwill</w:t>
            </w:r>
            <w:r w:rsidR="00C87B09" w:rsidRPr="005D2BA4">
              <w:rPr>
                <w:rFonts w:ascii="Verdana" w:hAnsi="Verdana"/>
                <w:b/>
                <w:sz w:val="24"/>
                <w:szCs w:val="24"/>
              </w:rPr>
              <w:t xml:space="preserve"> Write-down</w:t>
            </w:r>
            <w:r>
              <w:rPr>
                <w:rFonts w:ascii="Verdana" w:hAnsi="Verdana"/>
                <w:b/>
                <w:sz w:val="24"/>
                <w:szCs w:val="24"/>
              </w:rPr>
              <w:t xml:space="preserve"> as %</w:t>
            </w:r>
          </w:p>
        </w:tc>
      </w:tr>
      <w:tr w:rsidR="00C87B09" w:rsidTr="002B0ED6">
        <w:tc>
          <w:tcPr>
            <w:tcW w:w="4158" w:type="dxa"/>
          </w:tcPr>
          <w:p w:rsidR="00C87B09" w:rsidRDefault="00C87B09" w:rsidP="005D2BA4">
            <w:pPr>
              <w:rPr>
                <w:rFonts w:ascii="Verdana" w:hAnsi="Verdana"/>
                <w:sz w:val="24"/>
                <w:szCs w:val="24"/>
              </w:rPr>
            </w:pPr>
            <w:r w:rsidRPr="00C87B09">
              <w:rPr>
                <w:rFonts w:ascii="Verdana" w:hAnsi="Verdana"/>
                <w:sz w:val="24"/>
                <w:szCs w:val="24"/>
              </w:rPr>
              <w:t>INFUSYSTEM HOLDINGS</w:t>
            </w:r>
          </w:p>
        </w:tc>
        <w:tc>
          <w:tcPr>
            <w:tcW w:w="2520" w:type="dxa"/>
          </w:tcPr>
          <w:p w:rsidR="00C87B09" w:rsidRDefault="005D2BA4" w:rsidP="00B56D5D">
            <w:pPr>
              <w:jc w:val="center"/>
              <w:rPr>
                <w:rFonts w:ascii="Verdana" w:hAnsi="Verdana"/>
                <w:sz w:val="24"/>
                <w:szCs w:val="24"/>
              </w:rPr>
            </w:pPr>
            <w:r w:rsidRPr="005D2BA4">
              <w:rPr>
                <w:rFonts w:ascii="Verdana" w:hAnsi="Verdana"/>
                <w:sz w:val="24"/>
                <w:szCs w:val="24"/>
              </w:rPr>
              <w:t>-67.592</w:t>
            </w:r>
          </w:p>
        </w:tc>
        <w:tc>
          <w:tcPr>
            <w:tcW w:w="2898" w:type="dxa"/>
          </w:tcPr>
          <w:p w:rsidR="00C87B09" w:rsidRDefault="005D2BA4" w:rsidP="005D2BA4">
            <w:pPr>
              <w:jc w:val="center"/>
              <w:rPr>
                <w:rFonts w:ascii="Verdana" w:hAnsi="Verdana"/>
                <w:sz w:val="24"/>
                <w:szCs w:val="24"/>
              </w:rPr>
            </w:pPr>
            <w:r w:rsidRPr="005D2BA4">
              <w:rPr>
                <w:rFonts w:ascii="Verdana" w:hAnsi="Verdana"/>
                <w:sz w:val="24"/>
                <w:szCs w:val="24"/>
              </w:rPr>
              <w:t>-66.27%</w:t>
            </w:r>
          </w:p>
        </w:tc>
      </w:tr>
      <w:tr w:rsidR="00C87B09" w:rsidRPr="005D2BA4" w:rsidTr="002B0ED6">
        <w:tc>
          <w:tcPr>
            <w:tcW w:w="4158" w:type="dxa"/>
          </w:tcPr>
          <w:p w:rsidR="00C87B09" w:rsidRPr="005D2BA4" w:rsidRDefault="005D2BA4" w:rsidP="005D2BA4">
            <w:pPr>
              <w:rPr>
                <w:rFonts w:ascii="Verdana" w:hAnsi="Verdana"/>
                <w:sz w:val="24"/>
                <w:szCs w:val="24"/>
                <w:lang w:val="es-ES"/>
              </w:rPr>
            </w:pPr>
            <w:r w:rsidRPr="005D2BA4">
              <w:rPr>
                <w:rFonts w:ascii="Verdana" w:hAnsi="Verdana"/>
                <w:sz w:val="24"/>
                <w:szCs w:val="24"/>
                <w:lang w:val="es-ES"/>
              </w:rPr>
              <w:t>CHINA REAL ESTATE INFO-ADR</w:t>
            </w:r>
          </w:p>
        </w:tc>
        <w:tc>
          <w:tcPr>
            <w:tcW w:w="2520" w:type="dxa"/>
          </w:tcPr>
          <w:p w:rsidR="00C87B09" w:rsidRPr="005D2BA4" w:rsidRDefault="005D2BA4" w:rsidP="00B56D5D">
            <w:pPr>
              <w:jc w:val="center"/>
              <w:rPr>
                <w:rFonts w:ascii="Verdana" w:hAnsi="Verdana"/>
                <w:sz w:val="24"/>
                <w:szCs w:val="24"/>
                <w:lang w:val="es-ES"/>
              </w:rPr>
            </w:pPr>
            <w:r w:rsidRPr="005D2BA4">
              <w:rPr>
                <w:rFonts w:ascii="Verdana" w:hAnsi="Verdana"/>
                <w:sz w:val="24"/>
                <w:szCs w:val="24"/>
                <w:lang w:val="es-ES"/>
              </w:rPr>
              <w:t>-417.822</w:t>
            </w:r>
          </w:p>
        </w:tc>
        <w:tc>
          <w:tcPr>
            <w:tcW w:w="2898" w:type="dxa"/>
          </w:tcPr>
          <w:p w:rsidR="00C87B09" w:rsidRPr="00B56D5D" w:rsidRDefault="005D2BA4" w:rsidP="00B56D5D">
            <w:pPr>
              <w:jc w:val="center"/>
              <w:rPr>
                <w:rFonts w:ascii="Verdana" w:hAnsi="Verdana" w:cs="Arial"/>
                <w:color w:val="000000"/>
                <w:sz w:val="24"/>
                <w:szCs w:val="24"/>
              </w:rPr>
            </w:pPr>
            <w:r w:rsidRPr="005D2BA4">
              <w:rPr>
                <w:rFonts w:ascii="Verdana" w:hAnsi="Verdana" w:cs="Arial"/>
                <w:color w:val="000000"/>
                <w:sz w:val="24"/>
                <w:szCs w:val="24"/>
              </w:rPr>
              <w:t>-65.39%</w:t>
            </w:r>
          </w:p>
        </w:tc>
      </w:tr>
      <w:tr w:rsidR="00C87B09" w:rsidRPr="005D2BA4" w:rsidTr="002B0ED6">
        <w:tc>
          <w:tcPr>
            <w:tcW w:w="4158" w:type="dxa"/>
          </w:tcPr>
          <w:p w:rsidR="00C87B09" w:rsidRPr="005D2BA4" w:rsidRDefault="005D2BA4" w:rsidP="005D2BA4">
            <w:pPr>
              <w:rPr>
                <w:rFonts w:ascii="Verdana" w:hAnsi="Verdana"/>
                <w:sz w:val="24"/>
                <w:szCs w:val="24"/>
                <w:lang w:val="es-ES"/>
              </w:rPr>
            </w:pPr>
            <w:r w:rsidRPr="005D2BA4">
              <w:rPr>
                <w:rFonts w:ascii="Verdana" w:hAnsi="Verdana"/>
                <w:sz w:val="24"/>
                <w:szCs w:val="24"/>
                <w:lang w:val="es-ES"/>
              </w:rPr>
              <w:t>APRIA HEALTHCARE GROUP</w:t>
            </w:r>
          </w:p>
        </w:tc>
        <w:tc>
          <w:tcPr>
            <w:tcW w:w="2520" w:type="dxa"/>
          </w:tcPr>
          <w:p w:rsidR="00C87B09" w:rsidRPr="005D2BA4" w:rsidRDefault="005D2BA4" w:rsidP="00B56D5D">
            <w:pPr>
              <w:jc w:val="center"/>
              <w:rPr>
                <w:rFonts w:ascii="Verdana" w:hAnsi="Verdana"/>
                <w:sz w:val="24"/>
                <w:szCs w:val="24"/>
                <w:lang w:val="es-ES"/>
              </w:rPr>
            </w:pPr>
            <w:r w:rsidRPr="005D2BA4">
              <w:rPr>
                <w:rFonts w:ascii="Verdana" w:hAnsi="Verdana"/>
                <w:sz w:val="24"/>
                <w:szCs w:val="24"/>
                <w:lang w:val="es-ES"/>
              </w:rPr>
              <w:t>-569.868</w:t>
            </w:r>
          </w:p>
        </w:tc>
        <w:tc>
          <w:tcPr>
            <w:tcW w:w="2898" w:type="dxa"/>
          </w:tcPr>
          <w:p w:rsidR="00C87B09" w:rsidRPr="005D2BA4" w:rsidRDefault="005D2BA4" w:rsidP="005D2BA4">
            <w:pPr>
              <w:jc w:val="center"/>
              <w:rPr>
                <w:rFonts w:ascii="Verdana" w:hAnsi="Verdana"/>
                <w:sz w:val="24"/>
                <w:szCs w:val="24"/>
                <w:lang w:val="es-ES"/>
              </w:rPr>
            </w:pPr>
            <w:r w:rsidRPr="005D2BA4">
              <w:rPr>
                <w:rFonts w:ascii="Verdana" w:hAnsi="Verdana"/>
                <w:sz w:val="24"/>
                <w:szCs w:val="24"/>
                <w:lang w:val="es-ES"/>
              </w:rPr>
              <w:t>-44.63%</w:t>
            </w:r>
          </w:p>
        </w:tc>
      </w:tr>
      <w:tr w:rsidR="00C87B09" w:rsidRPr="005D2BA4" w:rsidTr="002B0ED6">
        <w:tc>
          <w:tcPr>
            <w:tcW w:w="4158" w:type="dxa"/>
          </w:tcPr>
          <w:p w:rsidR="00C87B09" w:rsidRPr="005D2BA4" w:rsidRDefault="005D2BA4" w:rsidP="005D2BA4">
            <w:pPr>
              <w:rPr>
                <w:rFonts w:ascii="Verdana" w:hAnsi="Verdana"/>
                <w:sz w:val="24"/>
                <w:szCs w:val="24"/>
                <w:lang w:val="es-ES"/>
              </w:rPr>
            </w:pPr>
            <w:r w:rsidRPr="005D2BA4">
              <w:rPr>
                <w:rFonts w:ascii="Verdana" w:hAnsi="Verdana"/>
                <w:sz w:val="24"/>
                <w:szCs w:val="24"/>
                <w:lang w:val="es-ES"/>
              </w:rPr>
              <w:t>LANTHEUS MEDICAL IMAGING</w:t>
            </w:r>
          </w:p>
        </w:tc>
        <w:tc>
          <w:tcPr>
            <w:tcW w:w="2520" w:type="dxa"/>
          </w:tcPr>
          <w:p w:rsidR="00C87B09" w:rsidRPr="005D2BA4" w:rsidRDefault="005D2BA4" w:rsidP="00B56D5D">
            <w:pPr>
              <w:jc w:val="center"/>
              <w:rPr>
                <w:rFonts w:ascii="Verdana" w:hAnsi="Verdana"/>
                <w:sz w:val="24"/>
                <w:szCs w:val="24"/>
                <w:lang w:val="es-ES"/>
              </w:rPr>
            </w:pPr>
            <w:r w:rsidRPr="005D2BA4">
              <w:rPr>
                <w:rFonts w:ascii="Verdana" w:hAnsi="Verdana"/>
                <w:sz w:val="24"/>
                <w:szCs w:val="24"/>
                <w:lang w:val="es-ES"/>
              </w:rPr>
              <w:t>-54.9</w:t>
            </w:r>
          </w:p>
        </w:tc>
        <w:tc>
          <w:tcPr>
            <w:tcW w:w="2898" w:type="dxa"/>
          </w:tcPr>
          <w:p w:rsidR="00C87B09" w:rsidRPr="005D2BA4" w:rsidRDefault="005D2BA4" w:rsidP="005D2BA4">
            <w:pPr>
              <w:tabs>
                <w:tab w:val="left" w:pos="960"/>
              </w:tabs>
              <w:jc w:val="center"/>
              <w:rPr>
                <w:rFonts w:ascii="Verdana" w:hAnsi="Verdana"/>
                <w:sz w:val="24"/>
                <w:szCs w:val="24"/>
                <w:lang w:val="es-ES"/>
              </w:rPr>
            </w:pPr>
            <w:r w:rsidRPr="005D2BA4">
              <w:rPr>
                <w:rFonts w:ascii="Verdana" w:hAnsi="Verdana"/>
                <w:sz w:val="24"/>
                <w:szCs w:val="24"/>
                <w:lang w:val="es-ES"/>
              </w:rPr>
              <w:t>-9.44%</w:t>
            </w:r>
          </w:p>
        </w:tc>
      </w:tr>
      <w:tr w:rsidR="00C87B09" w:rsidRPr="005D2BA4" w:rsidTr="002B0ED6">
        <w:tc>
          <w:tcPr>
            <w:tcW w:w="4158" w:type="dxa"/>
          </w:tcPr>
          <w:p w:rsidR="00C87B09" w:rsidRPr="005D2BA4" w:rsidRDefault="005D2BA4" w:rsidP="005D2BA4">
            <w:pPr>
              <w:rPr>
                <w:rFonts w:ascii="Verdana" w:hAnsi="Verdana"/>
                <w:sz w:val="24"/>
                <w:szCs w:val="24"/>
                <w:lang w:val="es-ES"/>
              </w:rPr>
            </w:pPr>
            <w:r w:rsidRPr="005D2BA4">
              <w:rPr>
                <w:rFonts w:ascii="Verdana" w:hAnsi="Verdana"/>
                <w:sz w:val="24"/>
                <w:szCs w:val="24"/>
                <w:lang w:val="es-ES"/>
              </w:rPr>
              <w:lastRenderedPageBreak/>
              <w:t>PENTAIR</w:t>
            </w:r>
          </w:p>
        </w:tc>
        <w:tc>
          <w:tcPr>
            <w:tcW w:w="2520" w:type="dxa"/>
          </w:tcPr>
          <w:p w:rsidR="00C87B09" w:rsidRPr="005D2BA4" w:rsidRDefault="005D2BA4" w:rsidP="00B56D5D">
            <w:pPr>
              <w:tabs>
                <w:tab w:val="left" w:pos="888"/>
              </w:tabs>
              <w:jc w:val="center"/>
              <w:rPr>
                <w:rFonts w:ascii="Verdana" w:hAnsi="Verdana"/>
                <w:sz w:val="24"/>
                <w:szCs w:val="24"/>
                <w:lang w:val="es-ES"/>
              </w:rPr>
            </w:pPr>
            <w:r>
              <w:rPr>
                <w:rFonts w:ascii="Verdana" w:hAnsi="Verdana"/>
                <w:sz w:val="24"/>
                <w:szCs w:val="24"/>
                <w:lang w:val="es-ES"/>
              </w:rPr>
              <w:t>-202.02</w:t>
            </w:r>
          </w:p>
        </w:tc>
        <w:tc>
          <w:tcPr>
            <w:tcW w:w="2898" w:type="dxa"/>
          </w:tcPr>
          <w:p w:rsidR="00C87B09" w:rsidRPr="005D2BA4" w:rsidRDefault="005D2BA4" w:rsidP="005D2BA4">
            <w:pPr>
              <w:jc w:val="center"/>
              <w:rPr>
                <w:rFonts w:ascii="Verdana" w:hAnsi="Verdana"/>
                <w:sz w:val="24"/>
                <w:szCs w:val="24"/>
                <w:lang w:val="es-ES"/>
              </w:rPr>
            </w:pPr>
            <w:r>
              <w:rPr>
                <w:rFonts w:ascii="Verdana" w:hAnsi="Verdana"/>
                <w:sz w:val="24"/>
                <w:szCs w:val="24"/>
                <w:lang w:val="es-ES"/>
              </w:rPr>
              <w:t>-7.54%</w:t>
            </w:r>
          </w:p>
        </w:tc>
      </w:tr>
      <w:tr w:rsidR="00C87B09" w:rsidRPr="005D2BA4" w:rsidTr="002B0ED6">
        <w:tc>
          <w:tcPr>
            <w:tcW w:w="4158" w:type="dxa"/>
          </w:tcPr>
          <w:p w:rsidR="00C87B09" w:rsidRPr="005D2BA4" w:rsidRDefault="005D2BA4" w:rsidP="005D2BA4">
            <w:pPr>
              <w:tabs>
                <w:tab w:val="left" w:pos="984"/>
              </w:tabs>
              <w:rPr>
                <w:rFonts w:ascii="Verdana" w:hAnsi="Verdana"/>
                <w:sz w:val="24"/>
                <w:szCs w:val="24"/>
                <w:lang w:val="es-ES"/>
              </w:rPr>
            </w:pPr>
            <w:r w:rsidRPr="005D2BA4">
              <w:rPr>
                <w:rFonts w:ascii="Verdana" w:hAnsi="Verdana"/>
                <w:sz w:val="24"/>
                <w:szCs w:val="24"/>
                <w:lang w:val="es-ES"/>
              </w:rPr>
              <w:t>NATIONAL MENTOR HOLDINGS</w:t>
            </w:r>
          </w:p>
        </w:tc>
        <w:tc>
          <w:tcPr>
            <w:tcW w:w="2520" w:type="dxa"/>
          </w:tcPr>
          <w:p w:rsidR="00C87B09" w:rsidRPr="005D2BA4" w:rsidRDefault="005D2BA4" w:rsidP="00B56D5D">
            <w:pPr>
              <w:jc w:val="center"/>
              <w:rPr>
                <w:rFonts w:ascii="Verdana" w:hAnsi="Verdana"/>
                <w:sz w:val="24"/>
                <w:szCs w:val="24"/>
                <w:lang w:val="es-ES"/>
              </w:rPr>
            </w:pPr>
            <w:r>
              <w:rPr>
                <w:rFonts w:ascii="Verdana" w:hAnsi="Verdana"/>
                <w:sz w:val="24"/>
                <w:szCs w:val="24"/>
                <w:lang w:val="es-ES"/>
              </w:rPr>
              <w:t>-14.5</w:t>
            </w:r>
          </w:p>
        </w:tc>
        <w:tc>
          <w:tcPr>
            <w:tcW w:w="2898" w:type="dxa"/>
          </w:tcPr>
          <w:p w:rsidR="00C87B09" w:rsidRPr="005D2BA4" w:rsidRDefault="005D2BA4" w:rsidP="005D2BA4">
            <w:pPr>
              <w:jc w:val="center"/>
              <w:rPr>
                <w:rFonts w:ascii="Verdana" w:hAnsi="Verdana"/>
                <w:sz w:val="24"/>
                <w:szCs w:val="24"/>
                <w:lang w:val="es-ES"/>
              </w:rPr>
            </w:pPr>
            <w:r>
              <w:rPr>
                <w:rFonts w:ascii="Verdana" w:hAnsi="Verdana"/>
                <w:sz w:val="24"/>
                <w:szCs w:val="24"/>
                <w:lang w:val="es-ES"/>
              </w:rPr>
              <w:t>-2.12%</w:t>
            </w:r>
          </w:p>
        </w:tc>
      </w:tr>
      <w:tr w:rsidR="00C87B09" w:rsidRPr="005D2BA4" w:rsidTr="002B0ED6">
        <w:tc>
          <w:tcPr>
            <w:tcW w:w="4158" w:type="dxa"/>
          </w:tcPr>
          <w:p w:rsidR="00C87B09" w:rsidRPr="005D2BA4" w:rsidRDefault="00B56D5D" w:rsidP="005D2BA4">
            <w:pPr>
              <w:rPr>
                <w:rFonts w:ascii="Verdana" w:hAnsi="Verdana"/>
                <w:sz w:val="24"/>
                <w:szCs w:val="24"/>
                <w:lang w:val="es-ES"/>
              </w:rPr>
            </w:pPr>
            <w:r w:rsidRPr="00B56D5D">
              <w:rPr>
                <w:rFonts w:ascii="Verdana" w:hAnsi="Verdana"/>
                <w:sz w:val="24"/>
                <w:szCs w:val="24"/>
                <w:lang w:val="es-ES"/>
              </w:rPr>
              <w:t>QUEST SOFTWARE</w:t>
            </w:r>
          </w:p>
        </w:tc>
        <w:tc>
          <w:tcPr>
            <w:tcW w:w="2520" w:type="dxa"/>
          </w:tcPr>
          <w:p w:rsidR="00C87B09" w:rsidRPr="005D2BA4" w:rsidRDefault="00B56D5D" w:rsidP="00B56D5D">
            <w:pPr>
              <w:jc w:val="center"/>
              <w:rPr>
                <w:rFonts w:ascii="Verdana" w:hAnsi="Verdana"/>
                <w:sz w:val="24"/>
                <w:szCs w:val="24"/>
                <w:lang w:val="es-ES"/>
              </w:rPr>
            </w:pPr>
            <w:r>
              <w:rPr>
                <w:rFonts w:ascii="Verdana" w:hAnsi="Verdana"/>
                <w:sz w:val="24"/>
                <w:szCs w:val="24"/>
                <w:lang w:val="es-ES"/>
              </w:rPr>
              <w:t>-9.0</w:t>
            </w:r>
          </w:p>
        </w:tc>
        <w:tc>
          <w:tcPr>
            <w:tcW w:w="2898" w:type="dxa"/>
          </w:tcPr>
          <w:p w:rsidR="00C87B09" w:rsidRPr="005D2BA4" w:rsidRDefault="00B56D5D" w:rsidP="005D2BA4">
            <w:pPr>
              <w:jc w:val="center"/>
              <w:rPr>
                <w:rFonts w:ascii="Verdana" w:hAnsi="Verdana"/>
                <w:sz w:val="24"/>
                <w:szCs w:val="24"/>
                <w:lang w:val="es-ES"/>
              </w:rPr>
            </w:pPr>
            <w:r>
              <w:rPr>
                <w:rFonts w:ascii="Verdana" w:hAnsi="Verdana"/>
                <w:sz w:val="24"/>
                <w:szCs w:val="24"/>
                <w:lang w:val="es-ES"/>
              </w:rPr>
              <w:t>-1.07%</w:t>
            </w:r>
          </w:p>
        </w:tc>
      </w:tr>
      <w:tr w:rsidR="00C87B09" w:rsidRPr="005D2BA4" w:rsidTr="002B0ED6">
        <w:tc>
          <w:tcPr>
            <w:tcW w:w="4158" w:type="dxa"/>
          </w:tcPr>
          <w:p w:rsidR="00C87B09" w:rsidRPr="005D2BA4" w:rsidRDefault="00B56D5D" w:rsidP="005D2BA4">
            <w:pPr>
              <w:rPr>
                <w:rFonts w:ascii="Verdana" w:hAnsi="Verdana"/>
                <w:sz w:val="24"/>
                <w:szCs w:val="24"/>
                <w:lang w:val="es-ES"/>
              </w:rPr>
            </w:pPr>
            <w:r w:rsidRPr="00B56D5D">
              <w:rPr>
                <w:rFonts w:ascii="Verdana" w:hAnsi="Verdana"/>
                <w:sz w:val="24"/>
                <w:szCs w:val="24"/>
                <w:lang w:val="es-ES"/>
              </w:rPr>
              <w:t>EPIQ SYSTEMS</w:t>
            </w:r>
          </w:p>
        </w:tc>
        <w:tc>
          <w:tcPr>
            <w:tcW w:w="2520" w:type="dxa"/>
          </w:tcPr>
          <w:p w:rsidR="00C87B09" w:rsidRPr="005D2BA4" w:rsidRDefault="00B56D5D" w:rsidP="00B56D5D">
            <w:pPr>
              <w:jc w:val="center"/>
              <w:rPr>
                <w:rFonts w:ascii="Verdana" w:hAnsi="Verdana"/>
                <w:sz w:val="24"/>
                <w:szCs w:val="24"/>
                <w:lang w:val="es-ES"/>
              </w:rPr>
            </w:pPr>
            <w:r>
              <w:rPr>
                <w:rFonts w:ascii="Verdana" w:hAnsi="Verdana"/>
                <w:sz w:val="24"/>
                <w:szCs w:val="24"/>
                <w:lang w:val="es-ES"/>
              </w:rPr>
              <w:t>-1.278</w:t>
            </w:r>
          </w:p>
        </w:tc>
        <w:tc>
          <w:tcPr>
            <w:tcW w:w="2898" w:type="dxa"/>
          </w:tcPr>
          <w:p w:rsidR="00C87B09" w:rsidRPr="005D2BA4" w:rsidRDefault="00B56D5D" w:rsidP="005D2BA4">
            <w:pPr>
              <w:jc w:val="center"/>
              <w:rPr>
                <w:rFonts w:ascii="Verdana" w:hAnsi="Verdana"/>
                <w:sz w:val="24"/>
                <w:szCs w:val="24"/>
                <w:lang w:val="es-ES"/>
              </w:rPr>
            </w:pPr>
            <w:r>
              <w:rPr>
                <w:rFonts w:ascii="Verdana" w:hAnsi="Verdana"/>
                <w:sz w:val="24"/>
                <w:szCs w:val="24"/>
                <w:lang w:val="es-ES"/>
              </w:rPr>
              <w:t>-0.34%</w:t>
            </w:r>
          </w:p>
        </w:tc>
      </w:tr>
      <w:tr w:rsidR="00C87B09" w:rsidRPr="005D2BA4" w:rsidTr="002B0ED6">
        <w:tc>
          <w:tcPr>
            <w:tcW w:w="4158" w:type="dxa"/>
          </w:tcPr>
          <w:p w:rsidR="00C87B09" w:rsidRPr="005D2BA4" w:rsidRDefault="00B56D5D" w:rsidP="005D2BA4">
            <w:pPr>
              <w:rPr>
                <w:rFonts w:ascii="Verdana" w:hAnsi="Verdana"/>
                <w:sz w:val="24"/>
                <w:szCs w:val="24"/>
                <w:lang w:val="es-ES"/>
              </w:rPr>
            </w:pPr>
            <w:r w:rsidRPr="00B56D5D">
              <w:rPr>
                <w:rFonts w:ascii="Verdana" w:hAnsi="Verdana"/>
                <w:sz w:val="24"/>
                <w:szCs w:val="24"/>
                <w:lang w:val="es-ES"/>
              </w:rPr>
              <w:t>VITAMIN SHOPPE</w:t>
            </w:r>
          </w:p>
        </w:tc>
        <w:tc>
          <w:tcPr>
            <w:tcW w:w="2520" w:type="dxa"/>
          </w:tcPr>
          <w:p w:rsidR="00C87B09" w:rsidRPr="005D2BA4" w:rsidRDefault="00B56D5D" w:rsidP="00B56D5D">
            <w:pPr>
              <w:jc w:val="center"/>
              <w:rPr>
                <w:rFonts w:ascii="Verdana" w:hAnsi="Verdana"/>
                <w:sz w:val="24"/>
                <w:szCs w:val="24"/>
                <w:lang w:val="es-ES"/>
              </w:rPr>
            </w:pPr>
            <w:r>
              <w:rPr>
                <w:rFonts w:ascii="Verdana" w:hAnsi="Verdana"/>
                <w:sz w:val="24"/>
                <w:szCs w:val="24"/>
                <w:lang w:val="es-ES"/>
              </w:rPr>
              <w:t>-0.325</w:t>
            </w:r>
          </w:p>
        </w:tc>
        <w:tc>
          <w:tcPr>
            <w:tcW w:w="2898" w:type="dxa"/>
          </w:tcPr>
          <w:p w:rsidR="00C87B09" w:rsidRPr="005D2BA4" w:rsidRDefault="00B56D5D" w:rsidP="005D2BA4">
            <w:pPr>
              <w:jc w:val="center"/>
              <w:rPr>
                <w:rFonts w:ascii="Verdana" w:hAnsi="Verdana"/>
                <w:sz w:val="24"/>
                <w:szCs w:val="24"/>
                <w:lang w:val="es-ES"/>
              </w:rPr>
            </w:pPr>
            <w:r>
              <w:rPr>
                <w:rFonts w:ascii="Verdana" w:hAnsi="Verdana"/>
                <w:sz w:val="24"/>
                <w:szCs w:val="24"/>
                <w:lang w:val="es-ES"/>
              </w:rPr>
              <w:t>-0.12%</w:t>
            </w:r>
          </w:p>
        </w:tc>
      </w:tr>
    </w:tbl>
    <w:p w:rsidR="00B34388" w:rsidRPr="005D2BA4" w:rsidRDefault="00B34388" w:rsidP="00041249">
      <w:pPr>
        <w:rPr>
          <w:rFonts w:ascii="Verdana" w:hAnsi="Verdana"/>
          <w:sz w:val="24"/>
          <w:szCs w:val="24"/>
          <w:lang w:val="es-ES"/>
        </w:rPr>
      </w:pPr>
    </w:p>
    <w:p w:rsidR="002D30FA" w:rsidRDefault="00B56D5D" w:rsidP="00041249">
      <w:pPr>
        <w:rPr>
          <w:rFonts w:ascii="Verdana" w:hAnsi="Verdana"/>
          <w:sz w:val="24"/>
          <w:szCs w:val="24"/>
        </w:rPr>
      </w:pPr>
      <w:r w:rsidRPr="00B56D5D">
        <w:rPr>
          <w:rFonts w:ascii="Verdana" w:hAnsi="Verdana"/>
          <w:sz w:val="24"/>
          <w:szCs w:val="24"/>
        </w:rPr>
        <w:t xml:space="preserve">The total pre-tax charge includes </w:t>
      </w:r>
      <w:r>
        <w:rPr>
          <w:rFonts w:ascii="Verdana" w:hAnsi="Verdana"/>
          <w:sz w:val="24"/>
          <w:szCs w:val="24"/>
        </w:rPr>
        <w:t xml:space="preserve">impairment losses </w:t>
      </w:r>
      <w:r w:rsidRPr="00B56D5D">
        <w:rPr>
          <w:rFonts w:ascii="Verdana" w:hAnsi="Verdana"/>
          <w:sz w:val="24"/>
          <w:szCs w:val="24"/>
        </w:rPr>
        <w:t>for both goodwill and any other intangibles reported by the company</w:t>
      </w:r>
      <w:r>
        <w:rPr>
          <w:rFonts w:ascii="Verdana" w:hAnsi="Verdana"/>
          <w:sz w:val="24"/>
          <w:szCs w:val="24"/>
        </w:rPr>
        <w:t xml:space="preserve"> for 2011.  </w:t>
      </w:r>
      <w:r w:rsidR="00675050">
        <w:rPr>
          <w:rFonts w:ascii="Verdana" w:hAnsi="Verdana"/>
          <w:sz w:val="24"/>
          <w:szCs w:val="24"/>
        </w:rPr>
        <w:t>These amounts include</w:t>
      </w:r>
      <w:r>
        <w:rPr>
          <w:rFonts w:ascii="Verdana" w:hAnsi="Verdana"/>
          <w:sz w:val="24"/>
          <w:szCs w:val="24"/>
        </w:rPr>
        <w:t xml:space="preserve"> charges reported as </w:t>
      </w:r>
      <w:r w:rsidR="00675050">
        <w:rPr>
          <w:rFonts w:ascii="Verdana" w:hAnsi="Verdana"/>
          <w:sz w:val="24"/>
          <w:szCs w:val="24"/>
        </w:rPr>
        <w:t>restru</w:t>
      </w:r>
      <w:r>
        <w:rPr>
          <w:rFonts w:ascii="Verdana" w:hAnsi="Verdana"/>
          <w:sz w:val="24"/>
          <w:szCs w:val="24"/>
        </w:rPr>
        <w:t>ct</w:t>
      </w:r>
      <w:r w:rsidR="00675050">
        <w:rPr>
          <w:rFonts w:ascii="Verdana" w:hAnsi="Verdana"/>
          <w:sz w:val="24"/>
          <w:szCs w:val="24"/>
        </w:rPr>
        <w:t>ur</w:t>
      </w:r>
      <w:r>
        <w:rPr>
          <w:rFonts w:ascii="Verdana" w:hAnsi="Verdana"/>
          <w:sz w:val="24"/>
          <w:szCs w:val="24"/>
        </w:rPr>
        <w:t>ing costs or other write-downs.  Except for CHINA REAL ESTATE INFO–ADR which has been delisted, all amounts were verified by tracing them to 2011 10-K filings.  The percentage write-down indicates the percentage of the</w:t>
      </w:r>
      <w:r w:rsidR="00D65F1B">
        <w:rPr>
          <w:rFonts w:ascii="Verdana" w:hAnsi="Verdana"/>
          <w:sz w:val="24"/>
          <w:szCs w:val="24"/>
        </w:rPr>
        <w:t xml:space="preserve"> 2011</w:t>
      </w:r>
      <w:r>
        <w:rPr>
          <w:rFonts w:ascii="Verdana" w:hAnsi="Verdana"/>
          <w:sz w:val="24"/>
          <w:szCs w:val="24"/>
        </w:rPr>
        <w:t xml:space="preserve"> impairment loss</w:t>
      </w:r>
      <w:r w:rsidR="00D65F1B">
        <w:rPr>
          <w:rFonts w:ascii="Verdana" w:hAnsi="Verdana"/>
          <w:sz w:val="24"/>
          <w:szCs w:val="24"/>
        </w:rPr>
        <w:t xml:space="preserve"> recognized</w:t>
      </w:r>
      <w:r>
        <w:rPr>
          <w:rFonts w:ascii="Verdana" w:hAnsi="Verdana"/>
          <w:sz w:val="24"/>
          <w:szCs w:val="24"/>
        </w:rPr>
        <w:t xml:space="preserve"> to the total in</w:t>
      </w:r>
      <w:r w:rsidR="00D65F1B">
        <w:rPr>
          <w:rFonts w:ascii="Verdana" w:hAnsi="Verdana"/>
          <w:sz w:val="24"/>
          <w:szCs w:val="24"/>
        </w:rPr>
        <w:t>tangibles we originally raised concerns about</w:t>
      </w:r>
      <w:r>
        <w:rPr>
          <w:rFonts w:ascii="Verdana" w:hAnsi="Verdana"/>
          <w:sz w:val="24"/>
          <w:szCs w:val="24"/>
        </w:rPr>
        <w:t>.</w:t>
      </w:r>
      <w:r w:rsidR="008E6799">
        <w:rPr>
          <w:rFonts w:ascii="Verdana" w:hAnsi="Verdana"/>
          <w:sz w:val="24"/>
          <w:szCs w:val="24"/>
        </w:rPr>
        <w:t xml:space="preserve"> </w:t>
      </w:r>
    </w:p>
    <w:p w:rsidR="00D65F1B" w:rsidRDefault="00D65F1B" w:rsidP="00041249">
      <w:pPr>
        <w:rPr>
          <w:rFonts w:ascii="Verdana" w:hAnsi="Verdana"/>
          <w:sz w:val="24"/>
          <w:szCs w:val="24"/>
        </w:rPr>
      </w:pPr>
    </w:p>
    <w:p w:rsidR="00D65F1B" w:rsidRDefault="00D65F1B" w:rsidP="00041249">
      <w:pPr>
        <w:rPr>
          <w:rFonts w:ascii="Verdana" w:hAnsi="Verdana"/>
          <w:sz w:val="24"/>
          <w:szCs w:val="24"/>
        </w:rPr>
      </w:pPr>
      <w:r>
        <w:rPr>
          <w:rFonts w:ascii="Verdana" w:hAnsi="Verdana"/>
          <w:sz w:val="24"/>
          <w:szCs w:val="24"/>
        </w:rPr>
        <w:t>So, what can we conclude?  Did Deloitte take our advice and check out these companies?  Or did the companies police themselves and “come clean” about the real value prospects of these fake assets?  Or</w:t>
      </w:r>
      <w:r w:rsidR="002B0ED6">
        <w:rPr>
          <w:rFonts w:ascii="Verdana" w:hAnsi="Verdana"/>
          <w:sz w:val="24"/>
          <w:szCs w:val="24"/>
        </w:rPr>
        <w:t>, most likely, did our simple model serve as a predictive tool for analysts to evaluate companies’ goodwill positions?</w:t>
      </w:r>
    </w:p>
    <w:p w:rsidR="00D65F1B" w:rsidRDefault="00D65F1B" w:rsidP="00041249">
      <w:pPr>
        <w:rPr>
          <w:rFonts w:ascii="Verdana" w:hAnsi="Verdana"/>
          <w:sz w:val="24"/>
          <w:szCs w:val="24"/>
        </w:rPr>
      </w:pPr>
    </w:p>
    <w:p w:rsidR="00D65F1B" w:rsidRDefault="00D65F1B" w:rsidP="00041249">
      <w:pPr>
        <w:rPr>
          <w:rFonts w:ascii="Verdana" w:hAnsi="Verdana"/>
          <w:sz w:val="24"/>
          <w:szCs w:val="24"/>
        </w:rPr>
      </w:pPr>
      <w:r>
        <w:rPr>
          <w:rFonts w:ascii="Verdana" w:hAnsi="Verdana"/>
          <w:sz w:val="24"/>
          <w:szCs w:val="24"/>
        </w:rPr>
        <w:t xml:space="preserve">And what does Thurm’s goodwill to market cap rubric show us </w:t>
      </w:r>
      <w:r w:rsidR="00300771">
        <w:rPr>
          <w:rFonts w:ascii="Verdana" w:hAnsi="Verdana"/>
          <w:sz w:val="24"/>
          <w:szCs w:val="24"/>
        </w:rPr>
        <w:t xml:space="preserve">at the end of 2011 </w:t>
      </w:r>
      <w:r>
        <w:rPr>
          <w:rFonts w:ascii="Verdana" w:hAnsi="Verdana"/>
          <w:sz w:val="24"/>
          <w:szCs w:val="24"/>
        </w:rPr>
        <w:t xml:space="preserve">for the above eight companies that are still listed?  Once again, we turned to WRDS data,  this time using common share outstanding data (CSHO), end of period share price (prcc_c and prcc_f), and market cap data (mkvalt).  Unfortunately, of the remaining eight companies (recall that CHINA REAL ESTATE INFO was delisted), </w:t>
      </w:r>
      <w:r w:rsidR="00300771">
        <w:rPr>
          <w:rFonts w:ascii="Verdana" w:hAnsi="Verdana"/>
          <w:sz w:val="24"/>
          <w:szCs w:val="24"/>
        </w:rPr>
        <w:t>three more companies are no longer publicly traded: APRIA HEALTHCARE GROUP, NATIONAL MENTOR HOLDINGS INC, and LANTHEUS MEDICAL IMAGING.  That leaves us with the following five companies:</w:t>
      </w:r>
    </w:p>
    <w:p w:rsidR="00300771" w:rsidRDefault="00300771" w:rsidP="00041249">
      <w:pPr>
        <w:rPr>
          <w:rFonts w:ascii="Verdana" w:hAnsi="Verdana"/>
          <w:sz w:val="24"/>
          <w:szCs w:val="24"/>
        </w:rPr>
      </w:pPr>
    </w:p>
    <w:tbl>
      <w:tblPr>
        <w:tblStyle w:val="TableGrid"/>
        <w:tblW w:w="0" w:type="auto"/>
        <w:tblLook w:val="04A0"/>
      </w:tblPr>
      <w:tblGrid>
        <w:gridCol w:w="4788"/>
        <w:gridCol w:w="4788"/>
      </w:tblGrid>
      <w:tr w:rsidR="00300771" w:rsidRPr="00300771" w:rsidTr="00300771">
        <w:tc>
          <w:tcPr>
            <w:tcW w:w="4788" w:type="dxa"/>
          </w:tcPr>
          <w:p w:rsidR="00300771" w:rsidRPr="00300771" w:rsidRDefault="00300771" w:rsidP="00300771">
            <w:pPr>
              <w:jc w:val="center"/>
              <w:rPr>
                <w:rFonts w:ascii="Verdana" w:hAnsi="Verdana"/>
                <w:b/>
                <w:sz w:val="24"/>
                <w:szCs w:val="24"/>
              </w:rPr>
            </w:pPr>
            <w:r w:rsidRPr="00300771">
              <w:rPr>
                <w:rFonts w:ascii="Verdana" w:hAnsi="Verdana"/>
                <w:b/>
                <w:sz w:val="24"/>
                <w:szCs w:val="24"/>
              </w:rPr>
              <w:t>Company</w:t>
            </w:r>
          </w:p>
        </w:tc>
        <w:tc>
          <w:tcPr>
            <w:tcW w:w="4788" w:type="dxa"/>
          </w:tcPr>
          <w:p w:rsidR="00300771" w:rsidRPr="00300771" w:rsidRDefault="00300771" w:rsidP="00300771">
            <w:pPr>
              <w:jc w:val="center"/>
              <w:rPr>
                <w:rFonts w:ascii="Verdana" w:hAnsi="Verdana"/>
                <w:b/>
                <w:sz w:val="24"/>
                <w:szCs w:val="24"/>
              </w:rPr>
            </w:pPr>
            <w:r w:rsidRPr="00300771">
              <w:rPr>
                <w:rFonts w:ascii="Verdana" w:hAnsi="Verdana"/>
                <w:b/>
                <w:sz w:val="24"/>
                <w:szCs w:val="24"/>
              </w:rPr>
              <w:t>% Goodwill to Market Capitalization</w:t>
            </w:r>
          </w:p>
        </w:tc>
      </w:tr>
      <w:tr w:rsidR="00300771" w:rsidTr="00300771">
        <w:tc>
          <w:tcPr>
            <w:tcW w:w="4788" w:type="dxa"/>
          </w:tcPr>
          <w:p w:rsidR="00300771" w:rsidRDefault="00300771" w:rsidP="00041249">
            <w:pPr>
              <w:rPr>
                <w:rFonts w:ascii="Verdana" w:hAnsi="Verdana"/>
                <w:sz w:val="24"/>
                <w:szCs w:val="24"/>
              </w:rPr>
            </w:pPr>
            <w:r w:rsidRPr="00B56D5D">
              <w:rPr>
                <w:rFonts w:ascii="Verdana" w:hAnsi="Verdana"/>
                <w:sz w:val="24"/>
                <w:szCs w:val="24"/>
                <w:lang w:val="es-ES"/>
              </w:rPr>
              <w:t>EPIQ SYSTEMS</w:t>
            </w:r>
          </w:p>
        </w:tc>
        <w:tc>
          <w:tcPr>
            <w:tcW w:w="4788" w:type="dxa"/>
          </w:tcPr>
          <w:p w:rsidR="00300771" w:rsidRDefault="00300771" w:rsidP="00300771">
            <w:pPr>
              <w:jc w:val="center"/>
              <w:rPr>
                <w:rFonts w:ascii="Verdana" w:hAnsi="Verdana"/>
                <w:sz w:val="24"/>
                <w:szCs w:val="24"/>
              </w:rPr>
            </w:pPr>
            <w:r>
              <w:rPr>
                <w:rFonts w:ascii="Verdana" w:hAnsi="Verdana"/>
                <w:sz w:val="24"/>
                <w:szCs w:val="24"/>
              </w:rPr>
              <w:t>93.71%</w:t>
            </w:r>
          </w:p>
        </w:tc>
      </w:tr>
      <w:tr w:rsidR="00300771" w:rsidTr="00300771">
        <w:tc>
          <w:tcPr>
            <w:tcW w:w="4788" w:type="dxa"/>
          </w:tcPr>
          <w:p w:rsidR="00300771" w:rsidRDefault="00300771" w:rsidP="00041249">
            <w:pPr>
              <w:rPr>
                <w:rFonts w:ascii="Verdana" w:hAnsi="Verdana"/>
                <w:sz w:val="24"/>
                <w:szCs w:val="24"/>
              </w:rPr>
            </w:pPr>
            <w:r w:rsidRPr="005D2BA4">
              <w:rPr>
                <w:rFonts w:ascii="Verdana" w:hAnsi="Verdana"/>
                <w:sz w:val="24"/>
                <w:szCs w:val="24"/>
                <w:lang w:val="es-ES"/>
              </w:rPr>
              <w:t>PENTAIR</w:t>
            </w:r>
          </w:p>
        </w:tc>
        <w:tc>
          <w:tcPr>
            <w:tcW w:w="4788" w:type="dxa"/>
          </w:tcPr>
          <w:p w:rsidR="00300771" w:rsidRDefault="00300771" w:rsidP="00300771">
            <w:pPr>
              <w:jc w:val="center"/>
              <w:rPr>
                <w:rFonts w:ascii="Verdana" w:hAnsi="Verdana"/>
                <w:sz w:val="24"/>
                <w:szCs w:val="24"/>
              </w:rPr>
            </w:pPr>
            <w:r>
              <w:rPr>
                <w:rFonts w:ascii="Verdana" w:hAnsi="Verdana"/>
                <w:sz w:val="24"/>
                <w:szCs w:val="24"/>
              </w:rPr>
              <w:t>69.26%</w:t>
            </w:r>
          </w:p>
        </w:tc>
      </w:tr>
      <w:tr w:rsidR="00300771" w:rsidTr="00300771">
        <w:tc>
          <w:tcPr>
            <w:tcW w:w="4788" w:type="dxa"/>
          </w:tcPr>
          <w:p w:rsidR="00300771" w:rsidRDefault="00300771" w:rsidP="00041249">
            <w:pPr>
              <w:rPr>
                <w:rFonts w:ascii="Verdana" w:hAnsi="Verdana"/>
                <w:sz w:val="24"/>
                <w:szCs w:val="24"/>
              </w:rPr>
            </w:pPr>
            <w:r w:rsidRPr="00B56D5D">
              <w:rPr>
                <w:rFonts w:ascii="Verdana" w:hAnsi="Verdana"/>
                <w:sz w:val="24"/>
                <w:szCs w:val="24"/>
                <w:lang w:val="es-ES"/>
              </w:rPr>
              <w:t>QUEST SOFTWARE</w:t>
            </w:r>
          </w:p>
        </w:tc>
        <w:tc>
          <w:tcPr>
            <w:tcW w:w="4788" w:type="dxa"/>
          </w:tcPr>
          <w:p w:rsidR="00300771" w:rsidRDefault="00300771" w:rsidP="00300771">
            <w:pPr>
              <w:jc w:val="center"/>
              <w:rPr>
                <w:rFonts w:ascii="Verdana" w:hAnsi="Verdana"/>
                <w:sz w:val="24"/>
                <w:szCs w:val="24"/>
              </w:rPr>
            </w:pPr>
            <w:r>
              <w:rPr>
                <w:rFonts w:ascii="Verdana" w:hAnsi="Verdana"/>
                <w:sz w:val="24"/>
                <w:szCs w:val="24"/>
              </w:rPr>
              <w:t>55.51%</w:t>
            </w:r>
          </w:p>
        </w:tc>
      </w:tr>
      <w:tr w:rsidR="00300771" w:rsidTr="00300771">
        <w:tc>
          <w:tcPr>
            <w:tcW w:w="4788" w:type="dxa"/>
          </w:tcPr>
          <w:p w:rsidR="00300771" w:rsidRDefault="00300771" w:rsidP="00041249">
            <w:pPr>
              <w:rPr>
                <w:rFonts w:ascii="Verdana" w:hAnsi="Verdana"/>
                <w:sz w:val="24"/>
                <w:szCs w:val="24"/>
              </w:rPr>
            </w:pPr>
            <w:r w:rsidRPr="00B56D5D">
              <w:rPr>
                <w:rFonts w:ascii="Verdana" w:hAnsi="Verdana"/>
                <w:sz w:val="24"/>
                <w:szCs w:val="24"/>
                <w:lang w:val="es-ES"/>
              </w:rPr>
              <w:t>VITAMIN SHOPPE</w:t>
            </w:r>
          </w:p>
        </w:tc>
        <w:tc>
          <w:tcPr>
            <w:tcW w:w="4788" w:type="dxa"/>
          </w:tcPr>
          <w:p w:rsidR="00300771" w:rsidRDefault="00300771" w:rsidP="00300771">
            <w:pPr>
              <w:jc w:val="center"/>
              <w:rPr>
                <w:rFonts w:ascii="Verdana" w:hAnsi="Verdana"/>
                <w:sz w:val="24"/>
                <w:szCs w:val="24"/>
              </w:rPr>
            </w:pPr>
            <w:r>
              <w:rPr>
                <w:rFonts w:ascii="Verdana" w:hAnsi="Verdana"/>
                <w:sz w:val="24"/>
                <w:szCs w:val="24"/>
              </w:rPr>
              <w:t>15.21%</w:t>
            </w:r>
          </w:p>
        </w:tc>
      </w:tr>
      <w:tr w:rsidR="00300771" w:rsidTr="00300771">
        <w:tc>
          <w:tcPr>
            <w:tcW w:w="4788" w:type="dxa"/>
          </w:tcPr>
          <w:p w:rsidR="00300771" w:rsidRDefault="00300771" w:rsidP="00041249">
            <w:pPr>
              <w:rPr>
                <w:rFonts w:ascii="Verdana" w:hAnsi="Verdana"/>
                <w:sz w:val="24"/>
                <w:szCs w:val="24"/>
              </w:rPr>
            </w:pPr>
            <w:r w:rsidRPr="00C87B09">
              <w:rPr>
                <w:rFonts w:ascii="Verdana" w:hAnsi="Verdana"/>
                <w:sz w:val="24"/>
                <w:szCs w:val="24"/>
              </w:rPr>
              <w:t>INFUSYSTEM HOLDINGS</w:t>
            </w:r>
          </w:p>
        </w:tc>
        <w:tc>
          <w:tcPr>
            <w:tcW w:w="4788" w:type="dxa"/>
          </w:tcPr>
          <w:p w:rsidR="00300771" w:rsidRDefault="00300771" w:rsidP="00300771">
            <w:pPr>
              <w:jc w:val="center"/>
              <w:rPr>
                <w:rFonts w:ascii="Verdana" w:hAnsi="Verdana"/>
                <w:sz w:val="24"/>
                <w:szCs w:val="24"/>
              </w:rPr>
            </w:pPr>
            <w:r>
              <w:rPr>
                <w:rFonts w:ascii="Verdana" w:hAnsi="Verdana"/>
                <w:sz w:val="24"/>
                <w:szCs w:val="24"/>
              </w:rPr>
              <w:t>0.00%</w:t>
            </w:r>
          </w:p>
        </w:tc>
      </w:tr>
    </w:tbl>
    <w:p w:rsidR="00300771" w:rsidRDefault="00300771" w:rsidP="00041249">
      <w:pPr>
        <w:rPr>
          <w:rFonts w:ascii="Verdana" w:hAnsi="Verdana"/>
          <w:sz w:val="24"/>
          <w:szCs w:val="24"/>
        </w:rPr>
      </w:pPr>
    </w:p>
    <w:p w:rsidR="00300771" w:rsidRDefault="00300771" w:rsidP="00041249">
      <w:pPr>
        <w:rPr>
          <w:rFonts w:ascii="Verdana" w:hAnsi="Verdana"/>
          <w:sz w:val="24"/>
          <w:szCs w:val="24"/>
        </w:rPr>
      </w:pPr>
      <w:r>
        <w:rPr>
          <w:rFonts w:ascii="Verdana" w:hAnsi="Verdana"/>
          <w:sz w:val="24"/>
          <w:szCs w:val="24"/>
        </w:rPr>
        <w:t>INFUSYSTEM HOLDINGS reports a zero percentage because the company has no goodwill.  It was all written off during 2011</w:t>
      </w:r>
      <w:r w:rsidR="002B0ED6">
        <w:rPr>
          <w:rFonts w:ascii="Verdana" w:hAnsi="Verdana"/>
          <w:sz w:val="24"/>
          <w:szCs w:val="24"/>
        </w:rPr>
        <w:t>.</w:t>
      </w:r>
      <w:r>
        <w:rPr>
          <w:rFonts w:ascii="Verdana" w:hAnsi="Verdana"/>
          <w:sz w:val="24"/>
          <w:szCs w:val="24"/>
        </w:rPr>
        <w:t xml:space="preserve">  </w:t>
      </w:r>
      <w:r w:rsidR="002B0ED6">
        <w:rPr>
          <w:rFonts w:ascii="Verdana" w:hAnsi="Verdana"/>
          <w:sz w:val="24"/>
          <w:szCs w:val="24"/>
        </w:rPr>
        <w:t>As</w:t>
      </w:r>
      <w:r>
        <w:rPr>
          <w:rFonts w:ascii="Verdana" w:hAnsi="Verdana"/>
          <w:sz w:val="24"/>
          <w:szCs w:val="24"/>
        </w:rPr>
        <w:t xml:space="preserve"> the percentages exceed 50 percent for only three companies, apparently the market continues to believe that the reported goodwill still has some value.</w:t>
      </w:r>
    </w:p>
    <w:p w:rsidR="004D4B36" w:rsidRDefault="004D4B36" w:rsidP="00041249">
      <w:pPr>
        <w:rPr>
          <w:rFonts w:ascii="Verdana" w:hAnsi="Verdana"/>
          <w:sz w:val="24"/>
          <w:szCs w:val="24"/>
        </w:rPr>
      </w:pPr>
    </w:p>
    <w:p w:rsidR="004D4B36" w:rsidRDefault="004D4B36" w:rsidP="00041249">
      <w:pPr>
        <w:rPr>
          <w:rFonts w:ascii="Verdana" w:hAnsi="Verdana"/>
          <w:sz w:val="24"/>
          <w:szCs w:val="24"/>
        </w:rPr>
      </w:pPr>
      <w:r>
        <w:rPr>
          <w:rFonts w:ascii="Verdana" w:hAnsi="Verdana"/>
          <w:sz w:val="24"/>
          <w:szCs w:val="24"/>
        </w:rPr>
        <w:lastRenderedPageBreak/>
        <w:t xml:space="preserve">So what do we </w:t>
      </w:r>
      <w:r w:rsidR="002B0ED6">
        <w:rPr>
          <w:rFonts w:ascii="Verdana" w:hAnsi="Verdana"/>
          <w:sz w:val="24"/>
          <w:szCs w:val="24"/>
        </w:rPr>
        <w:t>conclude from this analysis?</w:t>
      </w:r>
      <w:r>
        <w:rPr>
          <w:rFonts w:ascii="Verdana" w:hAnsi="Verdana"/>
          <w:sz w:val="24"/>
          <w:szCs w:val="24"/>
        </w:rPr>
        <w:t xml:space="preserve">  We hope that our accounting colleagues, academic and practitioner alike, wake up and realize that sometimes common sense and fundamental analysis can give us insights about asset value. As Emanuel Derman in his recent book </w:t>
      </w:r>
      <w:r w:rsidRPr="002B0ED6">
        <w:rPr>
          <w:rFonts w:ascii="Verdana" w:hAnsi="Verdana"/>
          <w:i/>
          <w:sz w:val="24"/>
          <w:szCs w:val="24"/>
        </w:rPr>
        <w:t>Models Behaving Badly</w:t>
      </w:r>
      <w:r>
        <w:rPr>
          <w:rFonts w:ascii="Verdana" w:hAnsi="Verdana"/>
          <w:sz w:val="24"/>
          <w:szCs w:val="24"/>
        </w:rPr>
        <w:t xml:space="preserve"> states:</w:t>
      </w:r>
    </w:p>
    <w:p w:rsidR="004D4B36" w:rsidRDefault="004D4B36" w:rsidP="00041249">
      <w:pPr>
        <w:rPr>
          <w:rFonts w:ascii="Verdana" w:hAnsi="Verdana"/>
          <w:sz w:val="24"/>
          <w:szCs w:val="24"/>
        </w:rPr>
      </w:pPr>
    </w:p>
    <w:p w:rsidR="004D4B36" w:rsidRPr="004D4B36" w:rsidRDefault="004D4B36" w:rsidP="004D4B36">
      <w:pPr>
        <w:ind w:left="720" w:right="720"/>
        <w:rPr>
          <w:rFonts w:ascii="Verdana" w:hAnsi="Verdana"/>
          <w:i/>
          <w:sz w:val="24"/>
          <w:szCs w:val="24"/>
        </w:rPr>
      </w:pPr>
      <w:r>
        <w:rPr>
          <w:rFonts w:ascii="Verdana" w:hAnsi="Verdana"/>
          <w:i/>
          <w:sz w:val="24"/>
          <w:szCs w:val="24"/>
        </w:rPr>
        <w:t xml:space="preserve">Finding the truth about nature takes cunning and intuition.  The invisible worm of financial economics is its dark secret love of mathematical elegance regardless of its efficacy, and its belief that </w:t>
      </w:r>
      <w:r w:rsidR="00675050">
        <w:rPr>
          <w:rFonts w:ascii="Verdana" w:hAnsi="Verdana"/>
          <w:i/>
          <w:sz w:val="24"/>
          <w:szCs w:val="24"/>
        </w:rPr>
        <w:t>rigor can replace fact and intu</w:t>
      </w:r>
      <w:r>
        <w:rPr>
          <w:rFonts w:ascii="Verdana" w:hAnsi="Verdana"/>
          <w:i/>
          <w:sz w:val="24"/>
          <w:szCs w:val="24"/>
        </w:rPr>
        <w:t>ition.</w:t>
      </w:r>
    </w:p>
    <w:p w:rsidR="004D4B36" w:rsidRDefault="004D4B36" w:rsidP="00041249">
      <w:pPr>
        <w:rPr>
          <w:rFonts w:ascii="Verdana" w:hAnsi="Verdana"/>
          <w:sz w:val="24"/>
          <w:szCs w:val="24"/>
        </w:rPr>
      </w:pPr>
    </w:p>
    <w:p w:rsidR="004D4B36" w:rsidRPr="00B56D5D" w:rsidRDefault="004D4B36" w:rsidP="00041249">
      <w:pPr>
        <w:rPr>
          <w:rFonts w:ascii="Verdana" w:hAnsi="Verdana"/>
          <w:sz w:val="24"/>
          <w:szCs w:val="24"/>
        </w:rPr>
      </w:pPr>
      <w:r>
        <w:rPr>
          <w:rFonts w:ascii="Verdana" w:hAnsi="Verdana"/>
          <w:sz w:val="24"/>
          <w:szCs w:val="24"/>
        </w:rPr>
        <w:t>In today’s world of fair value reporting, maybe we should require companies to prove that an intangible has value (above and beyond what managers tell us)!  No consulting reports based on “pie in the sky” estimates and discounted cash flow analysis</w:t>
      </w:r>
      <w:r w:rsidR="00675050">
        <w:rPr>
          <w:rFonts w:ascii="Verdana" w:hAnsi="Verdana"/>
          <w:sz w:val="24"/>
          <w:szCs w:val="24"/>
        </w:rPr>
        <w:t xml:space="preserve"> allowed</w:t>
      </w:r>
      <w:r>
        <w:rPr>
          <w:rFonts w:ascii="Verdana" w:hAnsi="Verdana"/>
          <w:sz w:val="24"/>
          <w:szCs w:val="24"/>
        </w:rPr>
        <w:t>.  Show us the actual, asset specific cash flow</w:t>
      </w:r>
      <w:r w:rsidR="00D60C50">
        <w:rPr>
          <w:rFonts w:ascii="Verdana" w:hAnsi="Verdana"/>
          <w:sz w:val="24"/>
          <w:szCs w:val="24"/>
        </w:rPr>
        <w:t>s</w:t>
      </w:r>
      <w:r>
        <w:rPr>
          <w:rFonts w:ascii="Verdana" w:hAnsi="Verdana"/>
          <w:sz w:val="24"/>
          <w:szCs w:val="24"/>
        </w:rPr>
        <w:t xml:space="preserve"> coming from these so called assets.  </w:t>
      </w:r>
      <w:r w:rsidR="00D60C50">
        <w:rPr>
          <w:rFonts w:ascii="Verdana" w:hAnsi="Verdana"/>
          <w:sz w:val="24"/>
          <w:szCs w:val="24"/>
        </w:rPr>
        <w:t xml:space="preserve">Prove that they are generating above average returns.  </w:t>
      </w:r>
      <w:r>
        <w:rPr>
          <w:rFonts w:ascii="Verdana" w:hAnsi="Verdana"/>
          <w:sz w:val="24"/>
          <w:szCs w:val="24"/>
        </w:rPr>
        <w:t>Show us the money!  If you can’</w:t>
      </w:r>
      <w:r w:rsidR="00675050">
        <w:rPr>
          <w:rFonts w:ascii="Verdana" w:hAnsi="Verdana"/>
          <w:sz w:val="24"/>
          <w:szCs w:val="24"/>
        </w:rPr>
        <w:t>t, then don’t</w:t>
      </w:r>
      <w:r>
        <w:rPr>
          <w:rFonts w:ascii="Verdana" w:hAnsi="Verdana"/>
          <w:sz w:val="24"/>
          <w:szCs w:val="24"/>
        </w:rPr>
        <w:t xml:space="preserve"> book it!  Probably too </w:t>
      </w:r>
      <w:r w:rsidR="00FC79B2">
        <w:rPr>
          <w:rFonts w:ascii="Verdana" w:hAnsi="Verdana"/>
          <w:sz w:val="24"/>
          <w:szCs w:val="24"/>
        </w:rPr>
        <w:t>uncomplicated</w:t>
      </w:r>
      <w:r>
        <w:rPr>
          <w:rFonts w:ascii="Verdana" w:hAnsi="Verdana"/>
          <w:sz w:val="24"/>
          <w:szCs w:val="24"/>
        </w:rPr>
        <w:t xml:space="preserve"> for anyone </w:t>
      </w:r>
      <w:r w:rsidR="00A14A39">
        <w:rPr>
          <w:rFonts w:ascii="Verdana" w:hAnsi="Verdana"/>
          <w:sz w:val="24"/>
          <w:szCs w:val="24"/>
        </w:rPr>
        <w:t xml:space="preserve">to grasp, except </w:t>
      </w:r>
      <w:r w:rsidR="002E02C6">
        <w:rPr>
          <w:rFonts w:ascii="Verdana" w:hAnsi="Verdana"/>
          <w:sz w:val="24"/>
          <w:szCs w:val="24"/>
        </w:rPr>
        <w:t xml:space="preserve">for </w:t>
      </w:r>
      <w:r>
        <w:rPr>
          <w:rFonts w:ascii="Verdana" w:hAnsi="Verdana"/>
          <w:sz w:val="24"/>
          <w:szCs w:val="24"/>
        </w:rPr>
        <w:t xml:space="preserve">two </w:t>
      </w:r>
      <w:r w:rsidR="00A14A39">
        <w:rPr>
          <w:rFonts w:ascii="Verdana" w:hAnsi="Verdana"/>
          <w:sz w:val="24"/>
          <w:szCs w:val="24"/>
        </w:rPr>
        <w:t xml:space="preserve">grumpy </w:t>
      </w:r>
      <w:r>
        <w:rPr>
          <w:rFonts w:ascii="Verdana" w:hAnsi="Verdana"/>
          <w:sz w:val="24"/>
          <w:szCs w:val="24"/>
        </w:rPr>
        <w:t>simpletons</w:t>
      </w:r>
      <w:r w:rsidR="00D60C50">
        <w:rPr>
          <w:rFonts w:ascii="Verdana" w:hAnsi="Verdana"/>
          <w:sz w:val="24"/>
          <w:szCs w:val="24"/>
        </w:rPr>
        <w:t>.</w:t>
      </w:r>
    </w:p>
    <w:p w:rsidR="00041249" w:rsidRPr="008F0E6C" w:rsidRDefault="00041249" w:rsidP="00041249">
      <w:pPr>
        <w:rPr>
          <w:rFonts w:ascii="Verdana" w:hAnsi="Verdana"/>
          <w:sz w:val="24"/>
          <w:szCs w:val="24"/>
        </w:rPr>
      </w:pPr>
    </w:p>
    <w:p w:rsidR="00941068" w:rsidRPr="008F0E6C" w:rsidRDefault="00941068" w:rsidP="00041249">
      <w:pPr>
        <w:pBdr>
          <w:bottom w:val="thinThickThinMediumGap" w:sz="18" w:space="0" w:color="auto"/>
        </w:pBdr>
        <w:rPr>
          <w:rFonts w:ascii="Verdana" w:hAnsi="Verdana"/>
          <w:sz w:val="24"/>
          <w:szCs w:val="24"/>
        </w:rPr>
      </w:pPr>
    </w:p>
    <w:p w:rsidR="005679C2" w:rsidRPr="008F0E6C"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F734B3" w:rsidRPr="00A56122" w:rsidRDefault="00F734B3" w:rsidP="00F734B3">
      <w:pPr>
        <w:pBdr>
          <w:bottom w:val="thinThickThinMediumGap" w:sz="18" w:space="0" w:color="auto"/>
        </w:pBdr>
        <w:rPr>
          <w:rFonts w:ascii="Verdana" w:hAnsi="Verdana"/>
        </w:rPr>
      </w:pPr>
    </w:p>
    <w:p w:rsidR="00F734B3" w:rsidRPr="00A56122" w:rsidRDefault="00F734B3" w:rsidP="00F734B3">
      <w:pPr>
        <w:pStyle w:val="BodyTextIndent"/>
        <w:spacing w:after="0"/>
        <w:ind w:left="0"/>
        <w:rPr>
          <w:rFonts w:ascii="Verdana" w:hAnsi="Verdana"/>
          <w:sz w:val="24"/>
          <w:szCs w:val="24"/>
        </w:rPr>
      </w:pPr>
    </w:p>
    <w:p w:rsidR="00F734B3" w:rsidRPr="00A56122" w:rsidRDefault="00F734B3" w:rsidP="00383ECD">
      <w:pPr>
        <w:rPr>
          <w:rFonts w:ascii="Verdana" w:hAnsi="Verdana" w:cs="Arial"/>
          <w:sz w:val="24"/>
          <w:szCs w:val="24"/>
        </w:rPr>
      </w:pPr>
    </w:p>
    <w:sectPr w:rsidR="00F734B3"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36CD"/>
    <w:multiLevelType w:val="hybridMultilevel"/>
    <w:tmpl w:val="715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52F7A"/>
    <w:multiLevelType w:val="hybridMultilevel"/>
    <w:tmpl w:val="3F5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3326F68"/>
    <w:multiLevelType w:val="hybridMultilevel"/>
    <w:tmpl w:val="39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33ECB"/>
    <w:multiLevelType w:val="hybridMultilevel"/>
    <w:tmpl w:val="5B5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02B77"/>
    <w:multiLevelType w:val="hybridMultilevel"/>
    <w:tmpl w:val="B53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15"/>
  </w:num>
  <w:num w:numId="6">
    <w:abstractNumId w:val="7"/>
  </w:num>
  <w:num w:numId="7">
    <w:abstractNumId w:val="9"/>
  </w:num>
  <w:num w:numId="8">
    <w:abstractNumId w:val="5"/>
  </w:num>
  <w:num w:numId="9">
    <w:abstractNumId w:val="16"/>
  </w:num>
  <w:num w:numId="10">
    <w:abstractNumId w:val="12"/>
  </w:num>
  <w:num w:numId="11">
    <w:abstractNumId w:val="3"/>
  </w:num>
  <w:num w:numId="12">
    <w:abstractNumId w:val="0"/>
  </w:num>
  <w:num w:numId="13">
    <w:abstractNumId w:val="10"/>
  </w:num>
  <w:num w:numId="14">
    <w:abstractNumId w:val="13"/>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0285F"/>
    <w:rsid w:val="00003FE2"/>
    <w:rsid w:val="000078FE"/>
    <w:rsid w:val="0001223C"/>
    <w:rsid w:val="00022B1C"/>
    <w:rsid w:val="00032D82"/>
    <w:rsid w:val="000374C2"/>
    <w:rsid w:val="00041249"/>
    <w:rsid w:val="00043E38"/>
    <w:rsid w:val="00046753"/>
    <w:rsid w:val="000519FA"/>
    <w:rsid w:val="00056DAE"/>
    <w:rsid w:val="00070FC4"/>
    <w:rsid w:val="00080D90"/>
    <w:rsid w:val="00081916"/>
    <w:rsid w:val="00083C89"/>
    <w:rsid w:val="0008518C"/>
    <w:rsid w:val="00093316"/>
    <w:rsid w:val="00094AF3"/>
    <w:rsid w:val="000A52AA"/>
    <w:rsid w:val="000A7F6B"/>
    <w:rsid w:val="000C0DAE"/>
    <w:rsid w:val="000C515C"/>
    <w:rsid w:val="000C51FE"/>
    <w:rsid w:val="000D547E"/>
    <w:rsid w:val="000E2E4F"/>
    <w:rsid w:val="000F37E7"/>
    <w:rsid w:val="00101329"/>
    <w:rsid w:val="00133F5D"/>
    <w:rsid w:val="00136C4E"/>
    <w:rsid w:val="00142392"/>
    <w:rsid w:val="001534BA"/>
    <w:rsid w:val="00166500"/>
    <w:rsid w:val="001823C4"/>
    <w:rsid w:val="001912CC"/>
    <w:rsid w:val="001978FB"/>
    <w:rsid w:val="001A0FEB"/>
    <w:rsid w:val="001A1941"/>
    <w:rsid w:val="001A35D6"/>
    <w:rsid w:val="001A441A"/>
    <w:rsid w:val="001A523B"/>
    <w:rsid w:val="001A5685"/>
    <w:rsid w:val="001A63DD"/>
    <w:rsid w:val="001A6B52"/>
    <w:rsid w:val="001B7207"/>
    <w:rsid w:val="001C3948"/>
    <w:rsid w:val="001C5C9F"/>
    <w:rsid w:val="001D01E5"/>
    <w:rsid w:val="00215FD8"/>
    <w:rsid w:val="00221C62"/>
    <w:rsid w:val="002254DA"/>
    <w:rsid w:val="00251D00"/>
    <w:rsid w:val="00257384"/>
    <w:rsid w:val="002713C6"/>
    <w:rsid w:val="00285D9E"/>
    <w:rsid w:val="0029409E"/>
    <w:rsid w:val="002A35CE"/>
    <w:rsid w:val="002B0A9D"/>
    <w:rsid w:val="002B0ED6"/>
    <w:rsid w:val="002B29A5"/>
    <w:rsid w:val="002D30FA"/>
    <w:rsid w:val="002E02C6"/>
    <w:rsid w:val="002E2C5E"/>
    <w:rsid w:val="00300771"/>
    <w:rsid w:val="00306561"/>
    <w:rsid w:val="00310FDE"/>
    <w:rsid w:val="00316C9F"/>
    <w:rsid w:val="003259CE"/>
    <w:rsid w:val="00325C01"/>
    <w:rsid w:val="00325C33"/>
    <w:rsid w:val="003473CE"/>
    <w:rsid w:val="0034773C"/>
    <w:rsid w:val="00354F1E"/>
    <w:rsid w:val="00383ECD"/>
    <w:rsid w:val="00387AD3"/>
    <w:rsid w:val="0039366C"/>
    <w:rsid w:val="00394F33"/>
    <w:rsid w:val="003A627B"/>
    <w:rsid w:val="003B7832"/>
    <w:rsid w:val="003C370E"/>
    <w:rsid w:val="003E24C7"/>
    <w:rsid w:val="003F6FEC"/>
    <w:rsid w:val="00410CA9"/>
    <w:rsid w:val="00433403"/>
    <w:rsid w:val="00441449"/>
    <w:rsid w:val="004534FA"/>
    <w:rsid w:val="00465E6E"/>
    <w:rsid w:val="00465E73"/>
    <w:rsid w:val="00471A13"/>
    <w:rsid w:val="00484D57"/>
    <w:rsid w:val="004960CF"/>
    <w:rsid w:val="00496266"/>
    <w:rsid w:val="004B6B32"/>
    <w:rsid w:val="004B780F"/>
    <w:rsid w:val="004C05A7"/>
    <w:rsid w:val="004D4B36"/>
    <w:rsid w:val="004D6BFC"/>
    <w:rsid w:val="004E16D3"/>
    <w:rsid w:val="004E2734"/>
    <w:rsid w:val="004E5A35"/>
    <w:rsid w:val="004E7B9C"/>
    <w:rsid w:val="004F71FD"/>
    <w:rsid w:val="0050716A"/>
    <w:rsid w:val="00534C76"/>
    <w:rsid w:val="00536804"/>
    <w:rsid w:val="0054490C"/>
    <w:rsid w:val="00547265"/>
    <w:rsid w:val="0055376D"/>
    <w:rsid w:val="0056118E"/>
    <w:rsid w:val="00564E1A"/>
    <w:rsid w:val="005679C2"/>
    <w:rsid w:val="00576F34"/>
    <w:rsid w:val="005865D0"/>
    <w:rsid w:val="00586757"/>
    <w:rsid w:val="005877D3"/>
    <w:rsid w:val="005A5F04"/>
    <w:rsid w:val="005B7BA1"/>
    <w:rsid w:val="005C05E4"/>
    <w:rsid w:val="005C7FC3"/>
    <w:rsid w:val="005D2BA4"/>
    <w:rsid w:val="005D5C01"/>
    <w:rsid w:val="005E5CC4"/>
    <w:rsid w:val="005E7ED6"/>
    <w:rsid w:val="00602CE9"/>
    <w:rsid w:val="00611B75"/>
    <w:rsid w:val="00613B7E"/>
    <w:rsid w:val="006174D4"/>
    <w:rsid w:val="00626CA8"/>
    <w:rsid w:val="00642B98"/>
    <w:rsid w:val="00654AEE"/>
    <w:rsid w:val="00675050"/>
    <w:rsid w:val="00680423"/>
    <w:rsid w:val="00681C81"/>
    <w:rsid w:val="006A65BE"/>
    <w:rsid w:val="006A7CF1"/>
    <w:rsid w:val="006A7E56"/>
    <w:rsid w:val="006B5167"/>
    <w:rsid w:val="006D1C42"/>
    <w:rsid w:val="00701811"/>
    <w:rsid w:val="00701F7E"/>
    <w:rsid w:val="007069CC"/>
    <w:rsid w:val="00714F76"/>
    <w:rsid w:val="00721587"/>
    <w:rsid w:val="00727419"/>
    <w:rsid w:val="0072762D"/>
    <w:rsid w:val="007310E9"/>
    <w:rsid w:val="00741CC4"/>
    <w:rsid w:val="0075714F"/>
    <w:rsid w:val="00762F72"/>
    <w:rsid w:val="007720CA"/>
    <w:rsid w:val="007812EF"/>
    <w:rsid w:val="007935E9"/>
    <w:rsid w:val="00795EDC"/>
    <w:rsid w:val="007A3645"/>
    <w:rsid w:val="007A46AC"/>
    <w:rsid w:val="007A54C7"/>
    <w:rsid w:val="007B54A0"/>
    <w:rsid w:val="007C4608"/>
    <w:rsid w:val="007D30EB"/>
    <w:rsid w:val="007D3A49"/>
    <w:rsid w:val="007E274D"/>
    <w:rsid w:val="007F6AA6"/>
    <w:rsid w:val="00800741"/>
    <w:rsid w:val="00802A3F"/>
    <w:rsid w:val="00802DD0"/>
    <w:rsid w:val="00821DC1"/>
    <w:rsid w:val="008244C3"/>
    <w:rsid w:val="00825D4D"/>
    <w:rsid w:val="00830A0B"/>
    <w:rsid w:val="00834103"/>
    <w:rsid w:val="00843D76"/>
    <w:rsid w:val="00847F54"/>
    <w:rsid w:val="00874083"/>
    <w:rsid w:val="008773C8"/>
    <w:rsid w:val="00885921"/>
    <w:rsid w:val="0089704D"/>
    <w:rsid w:val="008C08AF"/>
    <w:rsid w:val="008C3C2E"/>
    <w:rsid w:val="008C3DA5"/>
    <w:rsid w:val="008C4A70"/>
    <w:rsid w:val="008D2071"/>
    <w:rsid w:val="008E5381"/>
    <w:rsid w:val="008E6799"/>
    <w:rsid w:val="008F0E6C"/>
    <w:rsid w:val="00911D65"/>
    <w:rsid w:val="00917AE5"/>
    <w:rsid w:val="009306DB"/>
    <w:rsid w:val="0093719F"/>
    <w:rsid w:val="00937477"/>
    <w:rsid w:val="00940E89"/>
    <w:rsid w:val="00941068"/>
    <w:rsid w:val="00952126"/>
    <w:rsid w:val="009552D6"/>
    <w:rsid w:val="00974768"/>
    <w:rsid w:val="009A0991"/>
    <w:rsid w:val="009A26FD"/>
    <w:rsid w:val="009A403E"/>
    <w:rsid w:val="009B6ADB"/>
    <w:rsid w:val="009E096C"/>
    <w:rsid w:val="009F4FF8"/>
    <w:rsid w:val="00A0057D"/>
    <w:rsid w:val="00A02E34"/>
    <w:rsid w:val="00A04225"/>
    <w:rsid w:val="00A07918"/>
    <w:rsid w:val="00A1121C"/>
    <w:rsid w:val="00A11437"/>
    <w:rsid w:val="00A12E6F"/>
    <w:rsid w:val="00A14A39"/>
    <w:rsid w:val="00A2604A"/>
    <w:rsid w:val="00A3579D"/>
    <w:rsid w:val="00A501CA"/>
    <w:rsid w:val="00A56122"/>
    <w:rsid w:val="00A623DC"/>
    <w:rsid w:val="00A725CB"/>
    <w:rsid w:val="00A848B8"/>
    <w:rsid w:val="00A93C17"/>
    <w:rsid w:val="00AB5DEF"/>
    <w:rsid w:val="00AC081E"/>
    <w:rsid w:val="00AE44C0"/>
    <w:rsid w:val="00AE5150"/>
    <w:rsid w:val="00B01A09"/>
    <w:rsid w:val="00B020F8"/>
    <w:rsid w:val="00B06241"/>
    <w:rsid w:val="00B15362"/>
    <w:rsid w:val="00B20912"/>
    <w:rsid w:val="00B212FE"/>
    <w:rsid w:val="00B22B1B"/>
    <w:rsid w:val="00B230C6"/>
    <w:rsid w:val="00B3143C"/>
    <w:rsid w:val="00B33841"/>
    <w:rsid w:val="00B34388"/>
    <w:rsid w:val="00B47CEE"/>
    <w:rsid w:val="00B54E7A"/>
    <w:rsid w:val="00B56D5D"/>
    <w:rsid w:val="00B65B08"/>
    <w:rsid w:val="00B663AB"/>
    <w:rsid w:val="00B7722F"/>
    <w:rsid w:val="00B91C46"/>
    <w:rsid w:val="00B93593"/>
    <w:rsid w:val="00BA32AB"/>
    <w:rsid w:val="00BB6235"/>
    <w:rsid w:val="00BC1DB8"/>
    <w:rsid w:val="00BD1C30"/>
    <w:rsid w:val="00BD4859"/>
    <w:rsid w:val="00BE5BC9"/>
    <w:rsid w:val="00BF4CC9"/>
    <w:rsid w:val="00BF5636"/>
    <w:rsid w:val="00BF663F"/>
    <w:rsid w:val="00C02A18"/>
    <w:rsid w:val="00C0326A"/>
    <w:rsid w:val="00C04A39"/>
    <w:rsid w:val="00C04C25"/>
    <w:rsid w:val="00C06C9A"/>
    <w:rsid w:val="00C14B68"/>
    <w:rsid w:val="00C14D4C"/>
    <w:rsid w:val="00C17801"/>
    <w:rsid w:val="00C17B64"/>
    <w:rsid w:val="00C25606"/>
    <w:rsid w:val="00C40DDB"/>
    <w:rsid w:val="00C5207C"/>
    <w:rsid w:val="00C57186"/>
    <w:rsid w:val="00C7386E"/>
    <w:rsid w:val="00C74D64"/>
    <w:rsid w:val="00C83508"/>
    <w:rsid w:val="00C86325"/>
    <w:rsid w:val="00C878FF"/>
    <w:rsid w:val="00C87B09"/>
    <w:rsid w:val="00CA4259"/>
    <w:rsid w:val="00CB7FD0"/>
    <w:rsid w:val="00CD05F7"/>
    <w:rsid w:val="00CD0E7F"/>
    <w:rsid w:val="00CF567E"/>
    <w:rsid w:val="00D005BC"/>
    <w:rsid w:val="00D04C30"/>
    <w:rsid w:val="00D10237"/>
    <w:rsid w:val="00D15B07"/>
    <w:rsid w:val="00D16D83"/>
    <w:rsid w:val="00D54EF4"/>
    <w:rsid w:val="00D552C9"/>
    <w:rsid w:val="00D60C50"/>
    <w:rsid w:val="00D65F1B"/>
    <w:rsid w:val="00D7299A"/>
    <w:rsid w:val="00D96CB6"/>
    <w:rsid w:val="00DC497F"/>
    <w:rsid w:val="00DC4B05"/>
    <w:rsid w:val="00DC6A24"/>
    <w:rsid w:val="00DD0C39"/>
    <w:rsid w:val="00DE6D0F"/>
    <w:rsid w:val="00DF0BCE"/>
    <w:rsid w:val="00E0278C"/>
    <w:rsid w:val="00E0530E"/>
    <w:rsid w:val="00E06FF5"/>
    <w:rsid w:val="00E1403D"/>
    <w:rsid w:val="00E318EE"/>
    <w:rsid w:val="00E616A8"/>
    <w:rsid w:val="00E656F7"/>
    <w:rsid w:val="00E6651F"/>
    <w:rsid w:val="00E67F28"/>
    <w:rsid w:val="00E81155"/>
    <w:rsid w:val="00E87CB5"/>
    <w:rsid w:val="00E9250B"/>
    <w:rsid w:val="00E930B4"/>
    <w:rsid w:val="00EA49F8"/>
    <w:rsid w:val="00EA59CE"/>
    <w:rsid w:val="00EA73DD"/>
    <w:rsid w:val="00EB2BBA"/>
    <w:rsid w:val="00ED3830"/>
    <w:rsid w:val="00ED4CA7"/>
    <w:rsid w:val="00ED5DE9"/>
    <w:rsid w:val="00EE6A29"/>
    <w:rsid w:val="00EF3CB2"/>
    <w:rsid w:val="00F0140C"/>
    <w:rsid w:val="00F37BB7"/>
    <w:rsid w:val="00F460F1"/>
    <w:rsid w:val="00F7237C"/>
    <w:rsid w:val="00F734B3"/>
    <w:rsid w:val="00F8568F"/>
    <w:rsid w:val="00F95297"/>
    <w:rsid w:val="00FA305E"/>
    <w:rsid w:val="00FB06EB"/>
    <w:rsid w:val="00FC520E"/>
    <w:rsid w:val="00FC5D0E"/>
    <w:rsid w:val="00FC79B2"/>
    <w:rsid w:val="00FC7D59"/>
    <w:rsid w:val="00FD361F"/>
    <w:rsid w:val="00FD5BAE"/>
    <w:rsid w:val="00FD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A5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69068683">
      <w:bodyDiv w:val="1"/>
      <w:marLeft w:val="0"/>
      <w:marRight w:val="0"/>
      <w:marTop w:val="0"/>
      <w:marBottom w:val="0"/>
      <w:divBdr>
        <w:top w:val="none" w:sz="0" w:space="0" w:color="auto"/>
        <w:left w:val="none" w:sz="0" w:space="0" w:color="auto"/>
        <w:bottom w:val="none" w:sz="0" w:space="0" w:color="auto"/>
        <w:right w:val="none" w:sz="0" w:space="0" w:color="auto"/>
      </w:divBdr>
    </w:div>
    <w:div w:id="964652701">
      <w:bodyDiv w:val="1"/>
      <w:marLeft w:val="0"/>
      <w:marRight w:val="0"/>
      <w:marTop w:val="0"/>
      <w:marBottom w:val="0"/>
      <w:divBdr>
        <w:top w:val="none" w:sz="0" w:space="0" w:color="auto"/>
        <w:left w:val="none" w:sz="0" w:space="0" w:color="auto"/>
        <w:bottom w:val="none" w:sz="0" w:space="0" w:color="auto"/>
        <w:right w:val="none" w:sz="0" w:space="0" w:color="auto"/>
      </w:divBdr>
    </w:div>
    <w:div w:id="155419703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meal.psu.edu/grumpyoldaccountants/archives/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89" TargetMode="External"/><Relationship Id="rId5" Type="http://schemas.openxmlformats.org/officeDocument/2006/relationships/hyperlink" Target="http://online.wsj.com/article_email/SB10000872396390444042704577587302625535444-lMyQjAxMTAyMDIwNTAyODU3Wj.html?mod=wsj_valettop_e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2012-09-03T16:40:00Z</cp:lastPrinted>
  <dcterms:created xsi:type="dcterms:W3CDTF">2012-09-03T16:47:00Z</dcterms:created>
  <dcterms:modified xsi:type="dcterms:W3CDTF">2012-09-04T01:20:00Z</dcterms:modified>
</cp:coreProperties>
</file>