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6A" w:rsidRDefault="00470E6A" w:rsidP="00DD2F13">
      <w:pPr>
        <w:rPr>
          <w:rFonts w:ascii="Arial" w:hAnsi="Arial" w:cs="Arial"/>
          <w:b/>
          <w:sz w:val="28"/>
          <w:szCs w:val="28"/>
        </w:rPr>
      </w:pPr>
      <w:r>
        <w:rPr>
          <w:rFonts w:ascii="Arial" w:hAnsi="Arial" w:cs="Arial"/>
          <w:b/>
          <w:sz w:val="28"/>
          <w:szCs w:val="28"/>
        </w:rPr>
        <w:t>IMPROVING TRANSPARENCY IN NOTE DISCLOSURES:</w:t>
      </w:r>
    </w:p>
    <w:p w:rsidR="00470E6A" w:rsidRDefault="00470E6A" w:rsidP="00DD2F13">
      <w:pPr>
        <w:rPr>
          <w:rFonts w:ascii="Arial" w:hAnsi="Arial" w:cs="Arial"/>
          <w:b/>
          <w:sz w:val="28"/>
          <w:szCs w:val="28"/>
        </w:rPr>
      </w:pPr>
      <w:r>
        <w:rPr>
          <w:rFonts w:ascii="Arial" w:hAnsi="Arial" w:cs="Arial"/>
          <w:b/>
          <w:sz w:val="28"/>
          <w:szCs w:val="28"/>
        </w:rPr>
        <w:t>CAN FASB MAKE THE “HARD” DECISIONS?</w:t>
      </w:r>
    </w:p>
    <w:p w:rsidR="00EC3AA4" w:rsidRDefault="00EC3AA4" w:rsidP="00DD2F13">
      <w:pPr>
        <w:rPr>
          <w:rFonts w:ascii="Arial" w:hAnsi="Arial" w:cs="Arial"/>
          <w:b/>
          <w:sz w:val="28"/>
          <w:szCs w:val="28"/>
        </w:rPr>
      </w:pPr>
    </w:p>
    <w:p w:rsidR="00EC3AA4" w:rsidRDefault="00EC3AA4" w:rsidP="00EC3AA4">
      <w:pPr>
        <w:rPr>
          <w:rFonts w:ascii="Arial" w:hAnsi="Arial" w:cs="Arial"/>
          <w:b/>
          <w:i/>
          <w:sz w:val="24"/>
          <w:szCs w:val="24"/>
        </w:rPr>
      </w:pPr>
      <w:r w:rsidRPr="0087771A">
        <w:rPr>
          <w:rFonts w:ascii="Arial" w:hAnsi="Arial" w:cs="Arial"/>
          <w:b/>
          <w:i/>
          <w:sz w:val="24"/>
          <w:szCs w:val="24"/>
        </w:rPr>
        <w:t>Anthony H. Catanach Jr. and J. Edward Ketz</w:t>
      </w:r>
    </w:p>
    <w:p w:rsidR="00EC3AA4" w:rsidRDefault="00EC3AA4" w:rsidP="00EC3AA4">
      <w:pPr>
        <w:rPr>
          <w:rFonts w:ascii="Arial" w:hAnsi="Arial" w:cs="Arial"/>
          <w:b/>
          <w:i/>
          <w:sz w:val="24"/>
          <w:szCs w:val="24"/>
        </w:rPr>
      </w:pPr>
      <w:r>
        <w:rPr>
          <w:rFonts w:ascii="Arial" w:hAnsi="Arial" w:cs="Arial"/>
          <w:b/>
          <w:i/>
          <w:sz w:val="24"/>
          <w:szCs w:val="24"/>
        </w:rPr>
        <w:t>Grumpy Old Accountants, August 2012</w:t>
      </w:r>
    </w:p>
    <w:p w:rsidR="00EC3AA4" w:rsidRPr="000D14F7" w:rsidRDefault="00EC3AA4" w:rsidP="00DD2F13">
      <w:pPr>
        <w:rPr>
          <w:rFonts w:ascii="Verdana" w:hAnsi="Verdana" w:cs="Arial"/>
          <w:b/>
          <w:sz w:val="24"/>
          <w:szCs w:val="24"/>
        </w:rPr>
      </w:pPr>
    </w:p>
    <w:p w:rsidR="00A22AC5" w:rsidRDefault="00A22AC5" w:rsidP="0000345B">
      <w:pPr>
        <w:rPr>
          <w:rFonts w:ascii="Verdana" w:hAnsi="Verdana" w:cs="Arial"/>
          <w:sz w:val="24"/>
          <w:szCs w:val="24"/>
        </w:rPr>
      </w:pPr>
      <w:r>
        <w:rPr>
          <w:rFonts w:ascii="Verdana" w:hAnsi="Verdana" w:cs="Arial"/>
          <w:sz w:val="24"/>
          <w:szCs w:val="24"/>
        </w:rPr>
        <w:t xml:space="preserve">The </w:t>
      </w:r>
      <w:r w:rsidR="00470E6A" w:rsidRPr="000D14F7">
        <w:rPr>
          <w:rFonts w:ascii="Verdana" w:hAnsi="Verdana" w:cs="Arial"/>
          <w:sz w:val="24"/>
          <w:szCs w:val="24"/>
        </w:rPr>
        <w:t xml:space="preserve">Financial Accounting Standards Board </w:t>
      </w:r>
      <w:r w:rsidR="00510101" w:rsidRPr="000D14F7">
        <w:rPr>
          <w:rFonts w:ascii="Verdana" w:hAnsi="Verdana" w:cs="Arial"/>
          <w:sz w:val="24"/>
          <w:szCs w:val="24"/>
        </w:rPr>
        <w:t xml:space="preserve">(FASB) </w:t>
      </w:r>
      <w:r w:rsidR="00470E6A" w:rsidRPr="000D14F7">
        <w:rPr>
          <w:rFonts w:ascii="Verdana" w:hAnsi="Verdana" w:cs="Arial"/>
          <w:sz w:val="24"/>
          <w:szCs w:val="24"/>
        </w:rPr>
        <w:t xml:space="preserve">is getting around to addressing the disclosure catastrophe that has befallen our beloved financial statements.  Yes, in case you haven’t noticed, the financial statement notes (the </w:t>
      </w:r>
      <w:r w:rsidR="00510101" w:rsidRPr="000D14F7">
        <w:rPr>
          <w:rFonts w:ascii="Verdana" w:hAnsi="Verdana" w:cs="Arial"/>
          <w:sz w:val="24"/>
          <w:szCs w:val="24"/>
        </w:rPr>
        <w:t xml:space="preserve">report </w:t>
      </w:r>
      <w:r w:rsidR="00470E6A" w:rsidRPr="000D14F7">
        <w:rPr>
          <w:rFonts w:ascii="Verdana" w:hAnsi="Verdana" w:cs="Arial"/>
          <w:sz w:val="24"/>
          <w:szCs w:val="24"/>
        </w:rPr>
        <w:t>content that really matters</w:t>
      </w:r>
      <w:r w:rsidR="00510101" w:rsidRPr="000D14F7">
        <w:rPr>
          <w:rFonts w:ascii="Verdana" w:hAnsi="Verdana" w:cs="Arial"/>
          <w:sz w:val="24"/>
          <w:szCs w:val="24"/>
        </w:rPr>
        <w:t xml:space="preserve">) have disintegrated into a series of disorganized, generic, boilerplate text references that can at best be called tedious, and at worst uninformative and misleading. </w:t>
      </w:r>
      <w:r>
        <w:rPr>
          <w:rFonts w:ascii="Verdana" w:hAnsi="Verdana" w:cs="Arial"/>
          <w:sz w:val="24"/>
          <w:szCs w:val="24"/>
        </w:rPr>
        <w:t xml:space="preserve"> Since the financial report implosion of 2002, today’s financial reports have doubled in size but supply only half the information.  </w:t>
      </w:r>
      <w:r w:rsidR="00510101" w:rsidRPr="000D14F7">
        <w:rPr>
          <w:rFonts w:ascii="Verdana" w:hAnsi="Verdana" w:cs="Arial"/>
          <w:sz w:val="24"/>
          <w:szCs w:val="24"/>
        </w:rPr>
        <w:t xml:space="preserve">So, FASB’s recent invitation to comment on its </w:t>
      </w:r>
      <w:hyperlink r:id="rId8" w:history="1">
        <w:r w:rsidR="00510101" w:rsidRPr="000D14F7">
          <w:rPr>
            <w:rStyle w:val="Hyperlink"/>
            <w:rFonts w:ascii="Verdana" w:hAnsi="Verdana" w:cs="Arial"/>
            <w:sz w:val="24"/>
            <w:szCs w:val="24"/>
          </w:rPr>
          <w:t>Disclosure Framework</w:t>
        </w:r>
      </w:hyperlink>
      <w:r w:rsidR="00510101" w:rsidRPr="000D14F7">
        <w:rPr>
          <w:rFonts w:ascii="Verdana" w:hAnsi="Verdana" w:cs="Arial"/>
          <w:sz w:val="24"/>
          <w:szCs w:val="24"/>
        </w:rPr>
        <w:t xml:space="preserve"> is a Christmas gift in July.</w:t>
      </w:r>
    </w:p>
    <w:p w:rsidR="00A22AC5" w:rsidRDefault="00A22AC5" w:rsidP="0000345B">
      <w:pPr>
        <w:rPr>
          <w:rFonts w:ascii="Verdana" w:hAnsi="Verdana" w:cs="Arial"/>
          <w:sz w:val="24"/>
          <w:szCs w:val="24"/>
        </w:rPr>
      </w:pPr>
    </w:p>
    <w:p w:rsidR="00470E6A" w:rsidRDefault="00510101" w:rsidP="0000345B">
      <w:pPr>
        <w:rPr>
          <w:rFonts w:ascii="Verdana" w:hAnsi="Verdana" w:cs="Arial"/>
          <w:sz w:val="24"/>
          <w:szCs w:val="24"/>
        </w:rPr>
      </w:pPr>
      <w:r w:rsidRPr="000D14F7">
        <w:rPr>
          <w:rFonts w:ascii="Verdana" w:hAnsi="Verdana" w:cs="Arial"/>
          <w:sz w:val="24"/>
          <w:szCs w:val="24"/>
        </w:rPr>
        <w:t>But what took so long?  Maybe, the FASB schedu</w:t>
      </w:r>
      <w:r w:rsidR="0000345B" w:rsidRPr="000D14F7">
        <w:rPr>
          <w:rFonts w:ascii="Verdana" w:hAnsi="Verdana" w:cs="Arial"/>
          <w:sz w:val="24"/>
          <w:szCs w:val="24"/>
        </w:rPr>
        <w:t xml:space="preserve">le has opened up a bit now that </w:t>
      </w:r>
      <w:r w:rsidRPr="000D14F7">
        <w:rPr>
          <w:rFonts w:ascii="Verdana" w:hAnsi="Verdana" w:cs="Arial"/>
          <w:sz w:val="24"/>
          <w:szCs w:val="24"/>
        </w:rPr>
        <w:t>IF</w:t>
      </w:r>
      <w:r w:rsidR="0000345B" w:rsidRPr="000D14F7">
        <w:rPr>
          <w:rFonts w:ascii="Verdana" w:hAnsi="Verdana" w:cs="Arial"/>
          <w:sz w:val="24"/>
          <w:szCs w:val="24"/>
        </w:rPr>
        <w:t>RS adoption</w:t>
      </w:r>
      <w:r w:rsidRPr="000D14F7">
        <w:rPr>
          <w:rFonts w:ascii="Verdana" w:hAnsi="Verdana" w:cs="Arial"/>
          <w:sz w:val="24"/>
          <w:szCs w:val="24"/>
        </w:rPr>
        <w:t xml:space="preserve"> </w:t>
      </w:r>
      <w:r w:rsidR="0000345B" w:rsidRPr="000D14F7">
        <w:rPr>
          <w:rFonts w:ascii="Verdana" w:hAnsi="Verdana" w:cs="Arial"/>
          <w:sz w:val="24"/>
          <w:szCs w:val="24"/>
        </w:rPr>
        <w:t>is dead, and financial reporting transparency can get the attention it really deserves.</w:t>
      </w:r>
      <w:r w:rsidRPr="000D14F7">
        <w:rPr>
          <w:rFonts w:ascii="Verdana" w:hAnsi="Verdana" w:cs="Arial"/>
          <w:sz w:val="24"/>
          <w:szCs w:val="24"/>
        </w:rPr>
        <w:t xml:space="preserve"> </w:t>
      </w:r>
      <w:r w:rsidR="00A22AC5">
        <w:rPr>
          <w:rFonts w:ascii="Verdana" w:hAnsi="Verdana" w:cs="Arial"/>
          <w:sz w:val="24"/>
          <w:szCs w:val="24"/>
        </w:rPr>
        <w:t>Still, we aren’t going to get too excited as the FASB likely won’t pass anything for years and years.</w:t>
      </w:r>
    </w:p>
    <w:p w:rsidR="0011126E" w:rsidRPr="000D14F7" w:rsidRDefault="0011126E" w:rsidP="0000345B">
      <w:pPr>
        <w:rPr>
          <w:rFonts w:ascii="Verdana" w:hAnsi="Verdana" w:cs="Arial"/>
          <w:sz w:val="24"/>
          <w:szCs w:val="24"/>
        </w:rPr>
      </w:pPr>
    </w:p>
    <w:p w:rsidR="0000345B" w:rsidRPr="000D14F7" w:rsidRDefault="00A22AC5" w:rsidP="0000345B">
      <w:pPr>
        <w:rPr>
          <w:rFonts w:ascii="Verdana" w:hAnsi="Verdana" w:cs="Arial"/>
          <w:sz w:val="24"/>
          <w:szCs w:val="24"/>
        </w:rPr>
      </w:pPr>
      <w:r>
        <w:rPr>
          <w:rFonts w:ascii="Verdana" w:hAnsi="Verdana" w:cs="Arial"/>
          <w:sz w:val="24"/>
          <w:szCs w:val="24"/>
        </w:rPr>
        <w:t>W</w:t>
      </w:r>
      <w:r w:rsidR="0000345B" w:rsidRPr="000D14F7">
        <w:rPr>
          <w:rFonts w:ascii="Verdana" w:hAnsi="Verdana" w:cs="Arial"/>
          <w:sz w:val="24"/>
          <w:szCs w:val="24"/>
        </w:rPr>
        <w:t xml:space="preserve">e </w:t>
      </w:r>
      <w:r>
        <w:rPr>
          <w:rFonts w:ascii="Verdana" w:hAnsi="Verdana" w:cs="Arial"/>
          <w:sz w:val="24"/>
          <w:szCs w:val="24"/>
        </w:rPr>
        <w:t xml:space="preserve">also </w:t>
      </w:r>
      <w:r w:rsidR="0000345B" w:rsidRPr="000D14F7">
        <w:rPr>
          <w:rFonts w:ascii="Verdana" w:hAnsi="Verdana" w:cs="Arial"/>
          <w:sz w:val="24"/>
          <w:szCs w:val="24"/>
        </w:rPr>
        <w:t xml:space="preserve">wonder if the FASB is really qualified for rehabilitating financial statement note </w:t>
      </w:r>
      <w:r w:rsidR="00082B02" w:rsidRPr="000D14F7">
        <w:rPr>
          <w:rFonts w:ascii="Verdana" w:hAnsi="Verdana" w:cs="Arial"/>
          <w:sz w:val="24"/>
          <w:szCs w:val="24"/>
        </w:rPr>
        <w:t>disclosures.</w:t>
      </w:r>
      <w:r w:rsidR="0000345B" w:rsidRPr="000D14F7">
        <w:rPr>
          <w:rFonts w:ascii="Verdana" w:hAnsi="Verdana" w:cs="Arial"/>
          <w:sz w:val="24"/>
          <w:szCs w:val="24"/>
        </w:rPr>
        <w:t xml:space="preserve">  Why you ask?  Just read the invitation to comment.  The FASB takes an introduction and four chapters (50 pages total) to actually get to the substantive issues in Chapter 5 – Format and Organization. Wow!  Who really cares enough about note disclosure reform and transparency to wade through</w:t>
      </w:r>
      <w:r w:rsidR="00AA3C42" w:rsidRPr="000D14F7">
        <w:rPr>
          <w:rFonts w:ascii="Verdana" w:hAnsi="Verdana" w:cs="Arial"/>
          <w:sz w:val="24"/>
          <w:szCs w:val="24"/>
        </w:rPr>
        <w:t xml:space="preserve"> this </w:t>
      </w:r>
      <w:r w:rsidR="00404D1A" w:rsidRPr="000D14F7">
        <w:rPr>
          <w:rFonts w:ascii="Verdana" w:hAnsi="Verdana" w:cs="Arial"/>
          <w:sz w:val="24"/>
          <w:szCs w:val="24"/>
        </w:rPr>
        <w:t>verbose narrative</w:t>
      </w:r>
      <w:r>
        <w:rPr>
          <w:rFonts w:ascii="Verdana" w:hAnsi="Verdana" w:cs="Arial"/>
          <w:sz w:val="24"/>
          <w:szCs w:val="24"/>
        </w:rPr>
        <w:t xml:space="preserve"> that describes topics such as the board’s decision process and some general comments about flexibility and relevance</w:t>
      </w:r>
      <w:r w:rsidR="00404D1A" w:rsidRPr="000D14F7">
        <w:rPr>
          <w:rFonts w:ascii="Verdana" w:hAnsi="Verdana" w:cs="Arial"/>
          <w:sz w:val="24"/>
          <w:szCs w:val="24"/>
        </w:rPr>
        <w:t>?  The Grumpy Old Accountants</w:t>
      </w:r>
      <w:r w:rsidR="00AA3C42" w:rsidRPr="000D14F7">
        <w:rPr>
          <w:rFonts w:ascii="Verdana" w:hAnsi="Verdana" w:cs="Arial"/>
          <w:sz w:val="24"/>
          <w:szCs w:val="24"/>
        </w:rPr>
        <w:t xml:space="preserve"> of course…and we definitely have some ideas to share!</w:t>
      </w:r>
    </w:p>
    <w:p w:rsidR="00404D1A" w:rsidRPr="000D14F7" w:rsidRDefault="00404D1A" w:rsidP="0000345B">
      <w:pPr>
        <w:rPr>
          <w:rFonts w:ascii="Verdana" w:hAnsi="Verdana" w:cs="Arial"/>
          <w:sz w:val="24"/>
          <w:szCs w:val="24"/>
        </w:rPr>
      </w:pPr>
    </w:p>
    <w:p w:rsidR="00404D1A" w:rsidRPr="000D14F7" w:rsidRDefault="0064033C" w:rsidP="0000345B">
      <w:pPr>
        <w:rPr>
          <w:rFonts w:ascii="Verdana" w:hAnsi="Verdana" w:cs="Arial"/>
          <w:sz w:val="24"/>
          <w:szCs w:val="24"/>
        </w:rPr>
      </w:pPr>
      <w:r w:rsidRPr="000D14F7">
        <w:rPr>
          <w:rFonts w:ascii="Verdana" w:hAnsi="Verdana" w:cs="Arial"/>
          <w:sz w:val="24"/>
          <w:szCs w:val="24"/>
        </w:rPr>
        <w:t xml:space="preserve">Our very simple (and easy to implement) </w:t>
      </w:r>
      <w:r w:rsidR="00404D1A" w:rsidRPr="000D14F7">
        <w:rPr>
          <w:rFonts w:ascii="Verdana" w:hAnsi="Verdana" w:cs="Arial"/>
          <w:sz w:val="24"/>
          <w:szCs w:val="24"/>
        </w:rPr>
        <w:t>recommendations address issues raised in two sections of Chapter 5</w:t>
      </w:r>
      <w:r w:rsidRPr="000D14F7">
        <w:rPr>
          <w:rFonts w:ascii="Verdana" w:hAnsi="Verdana" w:cs="Arial"/>
          <w:sz w:val="24"/>
          <w:szCs w:val="24"/>
        </w:rPr>
        <w:t xml:space="preserve"> in FASB’s </w:t>
      </w:r>
      <w:r w:rsidR="00404D1A" w:rsidRPr="000D14F7">
        <w:rPr>
          <w:rFonts w:ascii="Verdana" w:hAnsi="Verdana" w:cs="Arial"/>
          <w:sz w:val="24"/>
          <w:szCs w:val="24"/>
        </w:rPr>
        <w:t xml:space="preserve">invitation to comment: </w:t>
      </w:r>
      <w:r w:rsidR="00404D1A" w:rsidRPr="000D14F7">
        <w:rPr>
          <w:rFonts w:ascii="Verdana" w:hAnsi="Verdana" w:cs="Arial"/>
          <w:i/>
          <w:sz w:val="24"/>
          <w:szCs w:val="24"/>
        </w:rPr>
        <w:t xml:space="preserve">Organization </w:t>
      </w:r>
      <w:r w:rsidR="00404D1A" w:rsidRPr="000D14F7">
        <w:rPr>
          <w:rFonts w:ascii="Verdana" w:hAnsi="Verdana" w:cs="Arial"/>
          <w:sz w:val="24"/>
          <w:szCs w:val="24"/>
        </w:rPr>
        <w:t xml:space="preserve">(page 55) and </w:t>
      </w:r>
      <w:r w:rsidR="00404D1A" w:rsidRPr="000D14F7">
        <w:rPr>
          <w:rFonts w:ascii="Verdana" w:hAnsi="Verdana" w:cs="Arial"/>
          <w:i/>
          <w:sz w:val="24"/>
          <w:szCs w:val="24"/>
        </w:rPr>
        <w:t>Enhancing the Understandability of Notes</w:t>
      </w:r>
      <w:r w:rsidR="00404D1A" w:rsidRPr="000D14F7">
        <w:rPr>
          <w:rFonts w:ascii="Verdana" w:hAnsi="Verdana" w:cs="Arial"/>
          <w:sz w:val="24"/>
          <w:szCs w:val="24"/>
        </w:rPr>
        <w:t xml:space="preserve"> (page 53).</w:t>
      </w:r>
    </w:p>
    <w:p w:rsidR="0070258E" w:rsidRPr="000D14F7" w:rsidRDefault="0070258E" w:rsidP="0000345B">
      <w:pPr>
        <w:rPr>
          <w:rFonts w:ascii="Verdana" w:hAnsi="Verdana" w:cs="Arial"/>
          <w:sz w:val="24"/>
          <w:szCs w:val="24"/>
        </w:rPr>
      </w:pPr>
    </w:p>
    <w:p w:rsidR="0070258E" w:rsidRPr="000D14F7" w:rsidRDefault="0070258E" w:rsidP="0000345B">
      <w:pPr>
        <w:rPr>
          <w:rFonts w:ascii="Verdana" w:hAnsi="Verdana" w:cs="Arial"/>
          <w:b/>
          <w:sz w:val="24"/>
          <w:szCs w:val="24"/>
        </w:rPr>
      </w:pPr>
      <w:r w:rsidRPr="000D14F7">
        <w:rPr>
          <w:rFonts w:ascii="Verdana" w:hAnsi="Verdana" w:cs="Arial"/>
          <w:b/>
          <w:sz w:val="24"/>
          <w:szCs w:val="24"/>
        </w:rPr>
        <w:t>Organization</w:t>
      </w:r>
    </w:p>
    <w:p w:rsidR="00404D1A" w:rsidRPr="000D14F7" w:rsidRDefault="00404D1A" w:rsidP="0000345B">
      <w:pPr>
        <w:rPr>
          <w:rFonts w:ascii="Verdana" w:hAnsi="Verdana" w:cs="Arial"/>
          <w:sz w:val="24"/>
          <w:szCs w:val="24"/>
        </w:rPr>
      </w:pPr>
    </w:p>
    <w:p w:rsidR="0070258E" w:rsidRPr="000D14F7" w:rsidRDefault="00A22AC5" w:rsidP="0000345B">
      <w:pPr>
        <w:rPr>
          <w:rFonts w:ascii="Verdana" w:hAnsi="Verdana" w:cs="Arial"/>
          <w:sz w:val="24"/>
          <w:szCs w:val="24"/>
        </w:rPr>
      </w:pPr>
      <w:r>
        <w:rPr>
          <w:rFonts w:ascii="Verdana" w:hAnsi="Verdana" w:cs="Arial"/>
          <w:sz w:val="24"/>
          <w:szCs w:val="24"/>
        </w:rPr>
        <w:t>W</w:t>
      </w:r>
      <w:r w:rsidR="0070258E" w:rsidRPr="000D14F7">
        <w:rPr>
          <w:rFonts w:ascii="Verdana" w:hAnsi="Verdana" w:cs="Arial"/>
          <w:sz w:val="24"/>
          <w:szCs w:val="24"/>
        </w:rPr>
        <w:t xml:space="preserve">e tend to generally favor the ordering suggestions outlined in paragraph 5.22, except that we see no need for “disclosures about transactions or events that have had or will have a broad impact on the financial statements.”  </w:t>
      </w:r>
      <w:r w:rsidR="00EC3AA4" w:rsidRPr="000D14F7">
        <w:rPr>
          <w:rFonts w:ascii="Verdana" w:hAnsi="Verdana" w:cs="Arial"/>
          <w:sz w:val="24"/>
          <w:szCs w:val="24"/>
        </w:rPr>
        <w:t xml:space="preserve">These are </w:t>
      </w:r>
      <w:r w:rsidR="0070258E" w:rsidRPr="000D14F7">
        <w:rPr>
          <w:rFonts w:ascii="Verdana" w:hAnsi="Verdana" w:cs="Arial"/>
          <w:sz w:val="24"/>
          <w:szCs w:val="24"/>
        </w:rPr>
        <w:t>much too judgmental and subjective, and hence not worthy of the printed space.</w:t>
      </w:r>
      <w:r w:rsidR="0070258E" w:rsidRPr="000D14F7">
        <w:rPr>
          <w:rFonts w:ascii="Verdana" w:hAnsi="Verdana" w:cs="Arial"/>
          <w:sz w:val="24"/>
          <w:szCs w:val="24"/>
        </w:rPr>
        <w:br/>
      </w:r>
    </w:p>
    <w:p w:rsidR="00404D1A" w:rsidRPr="000D14F7" w:rsidRDefault="0070258E" w:rsidP="0000345B">
      <w:pPr>
        <w:rPr>
          <w:rFonts w:ascii="Verdana" w:hAnsi="Verdana" w:cs="Arial"/>
          <w:sz w:val="24"/>
          <w:szCs w:val="24"/>
        </w:rPr>
      </w:pPr>
      <w:r w:rsidRPr="000D14F7">
        <w:rPr>
          <w:rFonts w:ascii="Verdana" w:hAnsi="Verdana" w:cs="Arial"/>
          <w:sz w:val="24"/>
          <w:szCs w:val="24"/>
        </w:rPr>
        <w:lastRenderedPageBreak/>
        <w:t>F</w:t>
      </w:r>
      <w:r w:rsidR="0064033C" w:rsidRPr="000D14F7">
        <w:rPr>
          <w:rFonts w:ascii="Verdana" w:hAnsi="Verdana" w:cs="Arial"/>
          <w:sz w:val="24"/>
          <w:szCs w:val="24"/>
        </w:rPr>
        <w:t xml:space="preserve">irst and foremost, each financial statement line item </w:t>
      </w:r>
      <w:r w:rsidR="0064033C" w:rsidRPr="0011126E">
        <w:rPr>
          <w:rFonts w:ascii="Verdana" w:hAnsi="Verdana" w:cs="Arial"/>
          <w:sz w:val="24"/>
          <w:szCs w:val="24"/>
        </w:rPr>
        <w:t>in both</w:t>
      </w:r>
      <w:r w:rsidR="0064033C" w:rsidRPr="000D14F7">
        <w:rPr>
          <w:rFonts w:ascii="Verdana" w:hAnsi="Verdana" w:cs="Arial"/>
          <w:sz w:val="24"/>
          <w:szCs w:val="24"/>
        </w:rPr>
        <w:t xml:space="preserve"> the balance sheet and income statement should be supported by its own individual note disclosure.  The numbering sequence of the notes would be driven by the ordering of assets, liabilities, and stockholders’ equity in a company’s balance sheet, followed by the sequencing of specific income statement line items.  The accounting policy note would not be numbered but would precede the numbered notes under a caption</w:t>
      </w:r>
      <w:r w:rsidR="00AF13C7" w:rsidRPr="000D14F7">
        <w:rPr>
          <w:rFonts w:ascii="Verdana" w:hAnsi="Verdana" w:cs="Arial"/>
          <w:sz w:val="24"/>
          <w:szCs w:val="24"/>
        </w:rPr>
        <w:t xml:space="preserve"> titled “General Reporting Considerations”</w:t>
      </w:r>
      <w:r w:rsidR="0064033C" w:rsidRPr="000D14F7">
        <w:rPr>
          <w:rFonts w:ascii="Verdana" w:hAnsi="Verdana" w:cs="Arial"/>
          <w:sz w:val="24"/>
          <w:szCs w:val="24"/>
        </w:rPr>
        <w:t>.</w:t>
      </w:r>
      <w:r w:rsidR="00AF13C7" w:rsidRPr="000D14F7">
        <w:rPr>
          <w:rFonts w:ascii="Verdana" w:hAnsi="Verdana" w:cs="Arial"/>
          <w:sz w:val="24"/>
          <w:szCs w:val="24"/>
        </w:rPr>
        <w:t xml:space="preserve">  More details to follow below.</w:t>
      </w:r>
    </w:p>
    <w:p w:rsidR="0070258E" w:rsidRPr="000D14F7" w:rsidRDefault="0070258E" w:rsidP="0000345B">
      <w:pPr>
        <w:rPr>
          <w:rFonts w:ascii="Verdana" w:hAnsi="Verdana" w:cs="Arial"/>
          <w:sz w:val="24"/>
          <w:szCs w:val="24"/>
        </w:rPr>
      </w:pPr>
    </w:p>
    <w:p w:rsidR="0070258E" w:rsidRDefault="0070258E" w:rsidP="0000345B">
      <w:pPr>
        <w:rPr>
          <w:rFonts w:ascii="Verdana" w:hAnsi="Verdana" w:cs="Arial"/>
          <w:sz w:val="24"/>
          <w:szCs w:val="24"/>
        </w:rPr>
      </w:pPr>
      <w:r w:rsidRPr="000D14F7">
        <w:rPr>
          <w:rFonts w:ascii="Verdana" w:hAnsi="Verdana" w:cs="Arial"/>
          <w:sz w:val="24"/>
          <w:szCs w:val="24"/>
        </w:rPr>
        <w:t>Additionally, each balance sheet and income statement amount reported should exactly match the related note disclosure and any supporting schedule provided.</w:t>
      </w:r>
      <w:r w:rsidR="005220DF" w:rsidRPr="000D14F7">
        <w:rPr>
          <w:rFonts w:ascii="Verdana" w:hAnsi="Verdana" w:cs="Arial"/>
          <w:sz w:val="24"/>
          <w:szCs w:val="24"/>
        </w:rPr>
        <w:t xml:space="preserve">  For example, impairment losses and restructuring costs reported in the income statement should </w:t>
      </w:r>
      <w:r w:rsidR="00D264A7" w:rsidRPr="000D14F7">
        <w:rPr>
          <w:rFonts w:ascii="Verdana" w:hAnsi="Verdana" w:cs="Arial"/>
          <w:sz w:val="24"/>
          <w:szCs w:val="24"/>
        </w:rPr>
        <w:t xml:space="preserve">be supported by a </w:t>
      </w:r>
      <w:r w:rsidR="005220DF" w:rsidRPr="000D14F7">
        <w:rPr>
          <w:rFonts w:ascii="Verdana" w:hAnsi="Verdana" w:cs="Arial"/>
          <w:sz w:val="24"/>
          <w:szCs w:val="24"/>
        </w:rPr>
        <w:t>schedule in the related note disclosure.</w:t>
      </w:r>
    </w:p>
    <w:p w:rsidR="0011126E" w:rsidRPr="000D14F7" w:rsidRDefault="0011126E" w:rsidP="0000345B">
      <w:pPr>
        <w:rPr>
          <w:rFonts w:ascii="Verdana" w:hAnsi="Verdana" w:cs="Arial"/>
          <w:sz w:val="24"/>
          <w:szCs w:val="24"/>
        </w:rPr>
      </w:pPr>
    </w:p>
    <w:p w:rsidR="005220DF" w:rsidRPr="000D14F7" w:rsidRDefault="005220DF" w:rsidP="0000345B">
      <w:pPr>
        <w:rPr>
          <w:rFonts w:ascii="Verdana" w:hAnsi="Verdana" w:cs="Arial"/>
          <w:sz w:val="24"/>
          <w:szCs w:val="24"/>
        </w:rPr>
      </w:pPr>
      <w:r w:rsidRPr="000D14F7">
        <w:rPr>
          <w:rFonts w:ascii="Verdana" w:hAnsi="Verdana" w:cs="Arial"/>
          <w:sz w:val="24"/>
          <w:szCs w:val="24"/>
        </w:rPr>
        <w:t>Finally, we propose elimination of the accounting policy note that we currently see “abused” in today’s financial state</w:t>
      </w:r>
      <w:r w:rsidR="00FD5FD5" w:rsidRPr="000D14F7">
        <w:rPr>
          <w:rFonts w:ascii="Verdana" w:hAnsi="Verdana" w:cs="Arial"/>
          <w:sz w:val="24"/>
          <w:szCs w:val="24"/>
        </w:rPr>
        <w:t>ments.  We propose including any</w:t>
      </w:r>
      <w:r w:rsidRPr="000D14F7">
        <w:rPr>
          <w:rFonts w:ascii="Verdana" w:hAnsi="Verdana" w:cs="Arial"/>
          <w:sz w:val="24"/>
          <w:szCs w:val="24"/>
        </w:rPr>
        <w:t xml:space="preserve"> accounting policies for specific balance sheet and income statement components together with the specific note disclosures outlined above.  For example, a</w:t>
      </w:r>
      <w:r w:rsidR="00FD5FD5" w:rsidRPr="000D14F7">
        <w:rPr>
          <w:rFonts w:ascii="Verdana" w:hAnsi="Verdana" w:cs="Arial"/>
          <w:sz w:val="24"/>
          <w:szCs w:val="24"/>
        </w:rPr>
        <w:t>s one</w:t>
      </w:r>
      <w:r w:rsidRPr="000D14F7">
        <w:rPr>
          <w:rFonts w:ascii="Verdana" w:hAnsi="Verdana" w:cs="Arial"/>
          <w:sz w:val="24"/>
          <w:szCs w:val="24"/>
        </w:rPr>
        <w:t xml:space="preserve"> analyze</w:t>
      </w:r>
      <w:r w:rsidR="00FD5FD5" w:rsidRPr="000D14F7">
        <w:rPr>
          <w:rFonts w:ascii="Verdana" w:hAnsi="Verdana" w:cs="Arial"/>
          <w:sz w:val="24"/>
          <w:szCs w:val="24"/>
        </w:rPr>
        <w:t>s</w:t>
      </w:r>
      <w:r w:rsidRPr="000D14F7">
        <w:rPr>
          <w:rFonts w:ascii="Verdana" w:hAnsi="Verdana" w:cs="Arial"/>
          <w:sz w:val="24"/>
          <w:szCs w:val="24"/>
        </w:rPr>
        <w:t xml:space="preserve"> the accounts receivable r</w:t>
      </w:r>
      <w:r w:rsidR="00FD5FD5" w:rsidRPr="000D14F7">
        <w:rPr>
          <w:rFonts w:ascii="Verdana" w:hAnsi="Verdana" w:cs="Arial"/>
          <w:sz w:val="24"/>
          <w:szCs w:val="24"/>
        </w:rPr>
        <w:t xml:space="preserve">eported by an entity, </w:t>
      </w:r>
      <w:r w:rsidRPr="000D14F7">
        <w:rPr>
          <w:rFonts w:ascii="Verdana" w:hAnsi="Verdana" w:cs="Arial"/>
          <w:sz w:val="24"/>
          <w:szCs w:val="24"/>
        </w:rPr>
        <w:t>the accounting policy for the item</w:t>
      </w:r>
      <w:r w:rsidR="00FD5FD5" w:rsidRPr="000D14F7">
        <w:rPr>
          <w:rFonts w:ascii="Verdana" w:hAnsi="Verdana" w:cs="Arial"/>
          <w:sz w:val="24"/>
          <w:szCs w:val="24"/>
        </w:rPr>
        <w:t xml:space="preserve"> would be read first</w:t>
      </w:r>
      <w:r w:rsidRPr="000D14F7">
        <w:rPr>
          <w:rFonts w:ascii="Verdana" w:hAnsi="Verdana" w:cs="Arial"/>
          <w:sz w:val="24"/>
          <w:szCs w:val="24"/>
        </w:rPr>
        <w:t>, then any detailed asset disclosures.  Why</w:t>
      </w:r>
      <w:r w:rsidR="00FD5FD5" w:rsidRPr="000D14F7">
        <w:rPr>
          <w:rFonts w:ascii="Verdana" w:hAnsi="Verdana" w:cs="Arial"/>
          <w:sz w:val="24"/>
          <w:szCs w:val="24"/>
        </w:rPr>
        <w:t xml:space="preserve"> do companies make readers</w:t>
      </w:r>
      <w:r w:rsidRPr="000D14F7">
        <w:rPr>
          <w:rFonts w:ascii="Verdana" w:hAnsi="Verdana" w:cs="Arial"/>
          <w:sz w:val="24"/>
          <w:szCs w:val="24"/>
        </w:rPr>
        <w:t xml:space="preserve"> flip back and forth between balance sheet, policy note, and </w:t>
      </w:r>
      <w:r w:rsidR="00FD5FD5" w:rsidRPr="000D14F7">
        <w:rPr>
          <w:rFonts w:ascii="Verdana" w:hAnsi="Verdana" w:cs="Arial"/>
          <w:sz w:val="24"/>
          <w:szCs w:val="24"/>
        </w:rPr>
        <w:t xml:space="preserve">a detailed note?  </w:t>
      </w:r>
      <w:r w:rsidR="00A22AC5">
        <w:rPr>
          <w:rFonts w:ascii="Verdana" w:hAnsi="Verdana" w:cs="Arial"/>
          <w:sz w:val="24"/>
          <w:szCs w:val="24"/>
        </w:rPr>
        <w:t xml:space="preserve">Worse, why do companies make readers peruse a variety of notes on the same account?  </w:t>
      </w:r>
      <w:r w:rsidR="00FD5FD5" w:rsidRPr="000D14F7">
        <w:rPr>
          <w:rFonts w:ascii="Verdana" w:hAnsi="Verdana" w:cs="Arial"/>
          <w:sz w:val="24"/>
          <w:szCs w:val="24"/>
        </w:rPr>
        <w:t>Are companies t</w:t>
      </w:r>
      <w:r w:rsidR="00AF13C7" w:rsidRPr="000D14F7">
        <w:rPr>
          <w:rFonts w:ascii="Verdana" w:hAnsi="Verdana" w:cs="Arial"/>
          <w:sz w:val="24"/>
          <w:szCs w:val="24"/>
        </w:rPr>
        <w:t>rying to confuse or mislead</w:t>
      </w:r>
      <w:r w:rsidR="00FD5FD5" w:rsidRPr="000D14F7">
        <w:rPr>
          <w:rFonts w:ascii="Verdana" w:hAnsi="Verdana" w:cs="Arial"/>
          <w:sz w:val="24"/>
          <w:szCs w:val="24"/>
        </w:rPr>
        <w:t>?</w:t>
      </w:r>
    </w:p>
    <w:p w:rsidR="00404D1A" w:rsidRPr="000D14F7" w:rsidRDefault="00404D1A" w:rsidP="0000345B">
      <w:pPr>
        <w:rPr>
          <w:rFonts w:ascii="Verdana" w:hAnsi="Verdana" w:cs="Arial"/>
          <w:sz w:val="24"/>
          <w:szCs w:val="24"/>
        </w:rPr>
      </w:pPr>
    </w:p>
    <w:p w:rsidR="00404D1A" w:rsidRPr="000D14F7" w:rsidRDefault="00E20C6E" w:rsidP="0000345B">
      <w:pPr>
        <w:rPr>
          <w:rFonts w:ascii="Verdana" w:hAnsi="Verdana" w:cs="Arial"/>
          <w:sz w:val="24"/>
          <w:szCs w:val="24"/>
        </w:rPr>
      </w:pPr>
      <w:r w:rsidRPr="000D14F7">
        <w:rPr>
          <w:rFonts w:ascii="Verdana" w:hAnsi="Verdana" w:cs="Arial"/>
          <w:sz w:val="24"/>
          <w:szCs w:val="24"/>
        </w:rPr>
        <w:t xml:space="preserve">As to the issues raised by the FASB in </w:t>
      </w:r>
      <w:r w:rsidR="00B94CDA" w:rsidRPr="000D14F7">
        <w:rPr>
          <w:rFonts w:ascii="Verdana" w:hAnsi="Verdana" w:cs="Arial"/>
          <w:sz w:val="24"/>
          <w:szCs w:val="24"/>
        </w:rPr>
        <w:t xml:space="preserve">paragraphs </w:t>
      </w:r>
      <w:r w:rsidRPr="000D14F7">
        <w:rPr>
          <w:rFonts w:ascii="Verdana" w:hAnsi="Verdana" w:cs="Arial"/>
          <w:sz w:val="24"/>
          <w:szCs w:val="24"/>
        </w:rPr>
        <w:t>5.27 through 5.30, o</w:t>
      </w:r>
      <w:r w:rsidR="00FD5FD5" w:rsidRPr="000D14F7">
        <w:rPr>
          <w:rFonts w:ascii="Verdana" w:hAnsi="Verdana" w:cs="Arial"/>
          <w:sz w:val="24"/>
          <w:szCs w:val="24"/>
        </w:rPr>
        <w:t>ur organization proposals are logical, easy to implement, meet the needs of most users, and are less subject to management manipulation.</w:t>
      </w:r>
    </w:p>
    <w:p w:rsidR="00404D1A" w:rsidRPr="000D14F7" w:rsidRDefault="00404D1A" w:rsidP="0000345B">
      <w:pPr>
        <w:rPr>
          <w:rFonts w:ascii="Verdana" w:hAnsi="Verdana" w:cs="Arial"/>
          <w:sz w:val="24"/>
          <w:szCs w:val="24"/>
        </w:rPr>
      </w:pPr>
    </w:p>
    <w:p w:rsidR="00404D1A" w:rsidRPr="000D14F7" w:rsidRDefault="00B94CDA" w:rsidP="0000345B">
      <w:pPr>
        <w:rPr>
          <w:rFonts w:ascii="Verdana" w:hAnsi="Verdana" w:cs="Arial"/>
          <w:b/>
          <w:sz w:val="24"/>
          <w:szCs w:val="24"/>
        </w:rPr>
      </w:pPr>
      <w:r w:rsidRPr="000D14F7">
        <w:rPr>
          <w:rFonts w:ascii="Verdana" w:hAnsi="Verdana" w:cs="Arial"/>
          <w:b/>
          <w:sz w:val="24"/>
          <w:szCs w:val="24"/>
        </w:rPr>
        <w:t>Enhancing the Understandability of Notes</w:t>
      </w:r>
    </w:p>
    <w:p w:rsidR="00B94CDA" w:rsidRPr="000D14F7" w:rsidRDefault="00B94CDA" w:rsidP="0000345B">
      <w:pPr>
        <w:rPr>
          <w:rFonts w:ascii="Verdana" w:hAnsi="Verdana" w:cs="Arial"/>
          <w:b/>
          <w:sz w:val="24"/>
          <w:szCs w:val="24"/>
        </w:rPr>
      </w:pPr>
    </w:p>
    <w:p w:rsidR="00B94CDA" w:rsidRPr="000D14F7" w:rsidRDefault="00B94CDA" w:rsidP="0000345B">
      <w:pPr>
        <w:rPr>
          <w:rFonts w:ascii="Verdana" w:hAnsi="Verdana" w:cs="Arial"/>
          <w:sz w:val="24"/>
          <w:szCs w:val="24"/>
        </w:rPr>
      </w:pPr>
      <w:r w:rsidRPr="000D14F7">
        <w:rPr>
          <w:rFonts w:ascii="Verdana" w:hAnsi="Verdana" w:cs="Arial"/>
          <w:sz w:val="24"/>
          <w:szCs w:val="24"/>
        </w:rPr>
        <w:t>Not surprisingly we h</w:t>
      </w:r>
      <w:r w:rsidR="00AF13C7" w:rsidRPr="000D14F7">
        <w:rPr>
          <w:rFonts w:ascii="Verdana" w:hAnsi="Verdana" w:cs="Arial"/>
          <w:sz w:val="24"/>
          <w:szCs w:val="24"/>
        </w:rPr>
        <w:t>ave some very strong opinions on</w:t>
      </w:r>
      <w:r w:rsidRPr="000D14F7">
        <w:rPr>
          <w:rFonts w:ascii="Verdana" w:hAnsi="Verdana" w:cs="Arial"/>
          <w:sz w:val="24"/>
          <w:szCs w:val="24"/>
        </w:rPr>
        <w:t xml:space="preserve"> how to improve the content of financial statement notes, thus their understandability and transparency.  First, as noted above, we recommend scrapping the accounting policy note as discussed above.  It would be replaced by a general (and unnumbered) section immediately following the last fina</w:t>
      </w:r>
      <w:r w:rsidR="00AF13C7" w:rsidRPr="000D14F7">
        <w:rPr>
          <w:rFonts w:ascii="Verdana" w:hAnsi="Verdana" w:cs="Arial"/>
          <w:sz w:val="24"/>
          <w:szCs w:val="24"/>
        </w:rPr>
        <w:t>ncial statement presented.  It w</w:t>
      </w:r>
      <w:r w:rsidRPr="000D14F7">
        <w:rPr>
          <w:rFonts w:ascii="Verdana" w:hAnsi="Verdana" w:cs="Arial"/>
          <w:sz w:val="24"/>
          <w:szCs w:val="24"/>
        </w:rPr>
        <w:t xml:space="preserve">ould be labeled “General Reporting Considerations” and would </w:t>
      </w:r>
      <w:r w:rsidRPr="000D14F7">
        <w:rPr>
          <w:rFonts w:ascii="Verdana" w:hAnsi="Verdana" w:cs="Arial"/>
          <w:b/>
          <w:i/>
          <w:sz w:val="24"/>
          <w:szCs w:val="24"/>
        </w:rPr>
        <w:t>include</w:t>
      </w:r>
      <w:r w:rsidRPr="000D14F7">
        <w:rPr>
          <w:rFonts w:ascii="Verdana" w:hAnsi="Verdana" w:cs="Arial"/>
          <w:b/>
          <w:sz w:val="24"/>
          <w:szCs w:val="24"/>
        </w:rPr>
        <w:t xml:space="preserve"> </w:t>
      </w:r>
      <w:r w:rsidR="00C60E3E" w:rsidRPr="000D14F7">
        <w:rPr>
          <w:rFonts w:ascii="Verdana" w:hAnsi="Verdana" w:cs="Arial"/>
          <w:b/>
          <w:i/>
          <w:sz w:val="24"/>
          <w:szCs w:val="24"/>
        </w:rPr>
        <w:t>only</w:t>
      </w:r>
      <w:r w:rsidR="00C60E3E" w:rsidRPr="000D14F7">
        <w:rPr>
          <w:rFonts w:ascii="Verdana" w:hAnsi="Verdana" w:cs="Arial"/>
          <w:sz w:val="24"/>
          <w:szCs w:val="24"/>
        </w:rPr>
        <w:t xml:space="preserve"> </w:t>
      </w:r>
      <w:r w:rsidRPr="000D14F7">
        <w:rPr>
          <w:rFonts w:ascii="Verdana" w:hAnsi="Verdana" w:cs="Arial"/>
          <w:sz w:val="24"/>
          <w:szCs w:val="24"/>
        </w:rPr>
        <w:t>the following items:</w:t>
      </w:r>
    </w:p>
    <w:p w:rsidR="00B94CDA" w:rsidRPr="000D14F7" w:rsidRDefault="00B94CDA" w:rsidP="0000345B">
      <w:pPr>
        <w:rPr>
          <w:rFonts w:ascii="Verdana" w:hAnsi="Verdana" w:cs="Arial"/>
          <w:sz w:val="24"/>
          <w:szCs w:val="24"/>
        </w:rPr>
      </w:pPr>
    </w:p>
    <w:p w:rsidR="00B94CDA" w:rsidRPr="000D14F7" w:rsidRDefault="00B94CDA" w:rsidP="00B94CDA">
      <w:pPr>
        <w:pStyle w:val="ListParagraph"/>
        <w:numPr>
          <w:ilvl w:val="0"/>
          <w:numId w:val="23"/>
        </w:numPr>
        <w:rPr>
          <w:rFonts w:ascii="Verdana" w:hAnsi="Verdana" w:cs="Arial"/>
          <w:sz w:val="24"/>
          <w:szCs w:val="24"/>
        </w:rPr>
      </w:pPr>
      <w:r w:rsidRPr="000D14F7">
        <w:rPr>
          <w:rFonts w:ascii="Verdana" w:hAnsi="Verdana" w:cs="Arial"/>
          <w:sz w:val="24"/>
          <w:szCs w:val="24"/>
        </w:rPr>
        <w:t>General business description including the reporting entity’s fiscal year end and reporting period.</w:t>
      </w:r>
      <w:r w:rsidRPr="000D14F7">
        <w:rPr>
          <w:rFonts w:ascii="Verdana" w:hAnsi="Verdana" w:cs="Arial"/>
          <w:sz w:val="24"/>
          <w:szCs w:val="24"/>
        </w:rPr>
        <w:br/>
      </w:r>
    </w:p>
    <w:p w:rsidR="00B94CDA" w:rsidRPr="000D14F7" w:rsidRDefault="00B94CDA" w:rsidP="00B94CDA">
      <w:pPr>
        <w:pStyle w:val="ListParagraph"/>
        <w:numPr>
          <w:ilvl w:val="0"/>
          <w:numId w:val="23"/>
        </w:numPr>
        <w:rPr>
          <w:rFonts w:ascii="Verdana" w:hAnsi="Verdana" w:cs="Arial"/>
          <w:sz w:val="24"/>
          <w:szCs w:val="24"/>
        </w:rPr>
      </w:pPr>
      <w:r w:rsidRPr="000D14F7">
        <w:rPr>
          <w:rFonts w:ascii="Verdana" w:hAnsi="Verdana" w:cs="Arial"/>
          <w:sz w:val="24"/>
          <w:szCs w:val="24"/>
        </w:rPr>
        <w:lastRenderedPageBreak/>
        <w:t>Basis of presentation (i.e., US GAAP, IFRS, liquidation, etc.)</w:t>
      </w:r>
      <w:r w:rsidR="00C60E3E" w:rsidRPr="000D14F7">
        <w:rPr>
          <w:rFonts w:ascii="Verdana" w:hAnsi="Verdana" w:cs="Arial"/>
          <w:sz w:val="24"/>
          <w:szCs w:val="24"/>
        </w:rPr>
        <w:br/>
      </w:r>
    </w:p>
    <w:p w:rsidR="00C60E3E" w:rsidRPr="000D14F7" w:rsidRDefault="00C60E3E" w:rsidP="00B94CDA">
      <w:pPr>
        <w:pStyle w:val="ListParagraph"/>
        <w:numPr>
          <w:ilvl w:val="0"/>
          <w:numId w:val="23"/>
        </w:numPr>
        <w:rPr>
          <w:rFonts w:ascii="Verdana" w:hAnsi="Verdana" w:cs="Arial"/>
          <w:sz w:val="24"/>
          <w:szCs w:val="24"/>
        </w:rPr>
      </w:pPr>
      <w:r w:rsidRPr="000D14F7">
        <w:rPr>
          <w:rFonts w:ascii="Verdana" w:hAnsi="Verdana" w:cs="Arial"/>
          <w:sz w:val="24"/>
          <w:szCs w:val="24"/>
        </w:rPr>
        <w:t>Principles of consolidation and a detailed schedule of consolidated entities (ownership percentage, reason for consolidation, total assets and revenues of consolidated entity, etc.)</w:t>
      </w:r>
      <w:r w:rsidRPr="000D14F7">
        <w:rPr>
          <w:rFonts w:ascii="Verdana" w:hAnsi="Verdana" w:cs="Arial"/>
          <w:sz w:val="24"/>
          <w:szCs w:val="24"/>
        </w:rPr>
        <w:br/>
      </w:r>
    </w:p>
    <w:p w:rsidR="00C60E3E" w:rsidRPr="000D14F7" w:rsidRDefault="00C60E3E" w:rsidP="00B94CDA">
      <w:pPr>
        <w:pStyle w:val="ListParagraph"/>
        <w:numPr>
          <w:ilvl w:val="0"/>
          <w:numId w:val="23"/>
        </w:numPr>
        <w:rPr>
          <w:rFonts w:ascii="Verdana" w:hAnsi="Verdana" w:cs="Arial"/>
          <w:sz w:val="24"/>
          <w:szCs w:val="24"/>
        </w:rPr>
      </w:pPr>
      <w:r w:rsidRPr="000D14F7">
        <w:rPr>
          <w:rFonts w:ascii="Verdana" w:hAnsi="Verdana" w:cs="Arial"/>
          <w:sz w:val="24"/>
          <w:szCs w:val="24"/>
        </w:rPr>
        <w:t>Reclassifications and restatements both of which would be supported by detailed schedules and related discussions (reasons, impact, etc.)</w:t>
      </w:r>
    </w:p>
    <w:p w:rsidR="00C60E3E" w:rsidRPr="000D14F7" w:rsidRDefault="00C60E3E" w:rsidP="00C60E3E">
      <w:pPr>
        <w:rPr>
          <w:rFonts w:ascii="Verdana" w:hAnsi="Verdana" w:cs="Arial"/>
          <w:sz w:val="24"/>
          <w:szCs w:val="24"/>
        </w:rPr>
      </w:pPr>
    </w:p>
    <w:p w:rsidR="00C60E3E" w:rsidRPr="000D14F7" w:rsidRDefault="00C60E3E" w:rsidP="00C60E3E">
      <w:pPr>
        <w:rPr>
          <w:rFonts w:ascii="Verdana" w:hAnsi="Verdana" w:cs="Arial"/>
          <w:sz w:val="24"/>
          <w:szCs w:val="24"/>
        </w:rPr>
      </w:pPr>
      <w:r w:rsidRPr="000D14F7">
        <w:rPr>
          <w:rFonts w:ascii="Verdana" w:hAnsi="Verdana" w:cs="Arial"/>
          <w:sz w:val="24"/>
          <w:szCs w:val="24"/>
        </w:rPr>
        <w:t xml:space="preserve">More specifically, this new note would </w:t>
      </w:r>
      <w:r w:rsidRPr="000D14F7">
        <w:rPr>
          <w:rFonts w:ascii="Verdana" w:hAnsi="Verdana" w:cs="Arial"/>
          <w:b/>
          <w:i/>
          <w:sz w:val="24"/>
          <w:szCs w:val="24"/>
        </w:rPr>
        <w:t>exclude</w:t>
      </w:r>
      <w:r w:rsidRPr="000D14F7">
        <w:rPr>
          <w:rFonts w:ascii="Verdana" w:hAnsi="Verdana" w:cs="Arial"/>
          <w:sz w:val="24"/>
          <w:szCs w:val="24"/>
        </w:rPr>
        <w:t xml:space="preserve"> the following items which would either be eliminated in entirety</w:t>
      </w:r>
      <w:r w:rsidR="00AF13C7" w:rsidRPr="000D14F7">
        <w:rPr>
          <w:rFonts w:ascii="Verdana" w:hAnsi="Verdana" w:cs="Arial"/>
          <w:sz w:val="24"/>
          <w:szCs w:val="24"/>
        </w:rPr>
        <w:t>,</w:t>
      </w:r>
      <w:r w:rsidRPr="000D14F7">
        <w:rPr>
          <w:rFonts w:ascii="Verdana" w:hAnsi="Verdana" w:cs="Arial"/>
          <w:sz w:val="24"/>
          <w:szCs w:val="24"/>
        </w:rPr>
        <w:t xml:space="preserve"> or relocated to a specific financial statement note:</w:t>
      </w:r>
    </w:p>
    <w:p w:rsidR="00C60E3E" w:rsidRPr="000D14F7" w:rsidRDefault="00C60E3E" w:rsidP="00C60E3E">
      <w:pPr>
        <w:rPr>
          <w:rFonts w:ascii="Verdana" w:hAnsi="Verdana" w:cs="Arial"/>
          <w:sz w:val="24"/>
          <w:szCs w:val="24"/>
        </w:rPr>
      </w:pPr>
    </w:p>
    <w:p w:rsidR="00112A54" w:rsidRPr="000D14F7" w:rsidRDefault="00112A54" w:rsidP="00112A54">
      <w:pPr>
        <w:pStyle w:val="ListParagraph"/>
        <w:numPr>
          <w:ilvl w:val="0"/>
          <w:numId w:val="24"/>
        </w:numPr>
        <w:rPr>
          <w:rFonts w:ascii="Verdana" w:hAnsi="Verdana" w:cs="Arial"/>
          <w:sz w:val="24"/>
          <w:szCs w:val="24"/>
        </w:rPr>
      </w:pPr>
      <w:r w:rsidRPr="000D14F7">
        <w:rPr>
          <w:rFonts w:ascii="Verdana" w:hAnsi="Verdana" w:cs="Arial"/>
          <w:sz w:val="24"/>
          <w:szCs w:val="24"/>
        </w:rPr>
        <w:t>The general “use of estimates” paragraph should be eliminated and replaced by a specific discussion of management estimates used for each financial statement line item in their own unique note disclosure.</w:t>
      </w:r>
      <w:r w:rsidRPr="000D14F7">
        <w:rPr>
          <w:rFonts w:ascii="Verdana" w:hAnsi="Verdana" w:cs="Arial"/>
          <w:sz w:val="24"/>
          <w:szCs w:val="24"/>
        </w:rPr>
        <w:br/>
      </w:r>
    </w:p>
    <w:p w:rsidR="00112A54" w:rsidRPr="000D14F7" w:rsidRDefault="00112A54" w:rsidP="00112A54">
      <w:pPr>
        <w:pStyle w:val="ListParagraph"/>
        <w:numPr>
          <w:ilvl w:val="0"/>
          <w:numId w:val="24"/>
        </w:numPr>
        <w:rPr>
          <w:rFonts w:ascii="Verdana" w:hAnsi="Verdana" w:cs="Arial"/>
          <w:sz w:val="24"/>
          <w:szCs w:val="24"/>
        </w:rPr>
      </w:pPr>
      <w:r w:rsidRPr="000D14F7">
        <w:rPr>
          <w:rFonts w:ascii="Verdana" w:hAnsi="Verdana" w:cs="Arial"/>
          <w:sz w:val="24"/>
          <w:szCs w:val="24"/>
        </w:rPr>
        <w:t xml:space="preserve">Revenue recognition policy disclosures would be included in a separate revenue note tied directly to the income statement line item.  These would be greatly expanded to include not only a description of each revenue recognition method used by the company, but an actual example of how the method is applied to sample </w:t>
      </w:r>
      <w:r w:rsidR="00AF13C7" w:rsidRPr="000D14F7">
        <w:rPr>
          <w:rFonts w:ascii="Verdana" w:hAnsi="Verdana" w:cs="Arial"/>
          <w:sz w:val="24"/>
          <w:szCs w:val="24"/>
        </w:rPr>
        <w:t xml:space="preserve">company </w:t>
      </w:r>
      <w:r w:rsidRPr="000D14F7">
        <w:rPr>
          <w:rFonts w:ascii="Verdana" w:hAnsi="Verdana" w:cs="Arial"/>
          <w:sz w:val="24"/>
          <w:szCs w:val="24"/>
        </w:rPr>
        <w:t>transactions.  Additionally, the reporting entity would detail what percent of total revenues is accounted for by each revenue recognition method.  Additionally, boilerplate verbatim references to and extracts from specific accounting standards would be eliminated.</w:t>
      </w:r>
      <w:r w:rsidRPr="000D14F7">
        <w:rPr>
          <w:rFonts w:ascii="Verdana" w:hAnsi="Verdana" w:cs="Arial"/>
          <w:sz w:val="24"/>
          <w:szCs w:val="24"/>
        </w:rPr>
        <w:br/>
      </w:r>
    </w:p>
    <w:p w:rsidR="00C60E3E" w:rsidRPr="000D14F7" w:rsidRDefault="00C60E3E" w:rsidP="00C60E3E">
      <w:pPr>
        <w:pStyle w:val="ListParagraph"/>
        <w:numPr>
          <w:ilvl w:val="0"/>
          <w:numId w:val="24"/>
        </w:numPr>
        <w:rPr>
          <w:rFonts w:ascii="Verdana" w:hAnsi="Verdana" w:cs="Arial"/>
          <w:sz w:val="24"/>
          <w:szCs w:val="24"/>
        </w:rPr>
      </w:pPr>
      <w:r w:rsidRPr="000D14F7">
        <w:rPr>
          <w:rFonts w:ascii="Verdana" w:hAnsi="Verdana" w:cs="Arial"/>
          <w:sz w:val="24"/>
          <w:szCs w:val="24"/>
        </w:rPr>
        <w:t>Accounting principles used for</w:t>
      </w:r>
      <w:r w:rsidR="00112A54" w:rsidRPr="000D14F7">
        <w:rPr>
          <w:rFonts w:ascii="Verdana" w:hAnsi="Verdana" w:cs="Arial"/>
          <w:sz w:val="24"/>
          <w:szCs w:val="24"/>
        </w:rPr>
        <w:t xml:space="preserve"> cash and cash equivalents, inventories,</w:t>
      </w:r>
      <w:r w:rsidRPr="000D14F7">
        <w:rPr>
          <w:rFonts w:ascii="Verdana" w:hAnsi="Verdana" w:cs="Arial"/>
          <w:sz w:val="24"/>
          <w:szCs w:val="24"/>
        </w:rPr>
        <w:t xml:space="preserve"> investments (including equity method investments)</w:t>
      </w:r>
      <w:r w:rsidR="00112A54" w:rsidRPr="000D14F7">
        <w:rPr>
          <w:rFonts w:ascii="Verdana" w:hAnsi="Verdana" w:cs="Arial"/>
          <w:sz w:val="24"/>
          <w:szCs w:val="24"/>
        </w:rPr>
        <w:t>, derivatives, goodwill and intangibles; property, plant, and equipment; maintenance activities, debt, pensions, credit concentrations and business risks, foreign currency translation, stock based compensation, income taxes, and the like,</w:t>
      </w:r>
      <w:r w:rsidRPr="000D14F7">
        <w:rPr>
          <w:rFonts w:ascii="Verdana" w:hAnsi="Verdana" w:cs="Arial"/>
          <w:sz w:val="24"/>
          <w:szCs w:val="24"/>
        </w:rPr>
        <w:t xml:space="preserve"> should be relocated to the</w:t>
      </w:r>
      <w:r w:rsidR="00744BA9" w:rsidRPr="000D14F7">
        <w:rPr>
          <w:rFonts w:ascii="Verdana" w:hAnsi="Verdana" w:cs="Arial"/>
          <w:sz w:val="24"/>
          <w:szCs w:val="24"/>
        </w:rPr>
        <w:t xml:space="preserve">ir respective financial statement line item </w:t>
      </w:r>
      <w:r w:rsidRPr="000D14F7">
        <w:rPr>
          <w:rFonts w:ascii="Verdana" w:hAnsi="Verdana" w:cs="Arial"/>
          <w:sz w:val="24"/>
          <w:szCs w:val="24"/>
        </w:rPr>
        <w:t>note</w:t>
      </w:r>
      <w:r w:rsidR="00744BA9" w:rsidRPr="000D14F7">
        <w:rPr>
          <w:rFonts w:ascii="Verdana" w:hAnsi="Verdana" w:cs="Arial"/>
          <w:sz w:val="24"/>
          <w:szCs w:val="24"/>
        </w:rPr>
        <w:t>s,</w:t>
      </w:r>
      <w:r w:rsidRPr="000D14F7">
        <w:rPr>
          <w:rFonts w:ascii="Verdana" w:hAnsi="Verdana" w:cs="Arial"/>
          <w:sz w:val="24"/>
          <w:szCs w:val="24"/>
        </w:rPr>
        <w:t xml:space="preserve"> and </w:t>
      </w:r>
      <w:r w:rsidR="007D1C85" w:rsidRPr="000D14F7">
        <w:rPr>
          <w:rFonts w:ascii="Verdana" w:hAnsi="Verdana" w:cs="Arial"/>
          <w:sz w:val="24"/>
          <w:szCs w:val="24"/>
        </w:rPr>
        <w:t xml:space="preserve">either matched or </w:t>
      </w:r>
      <w:r w:rsidRPr="000D14F7">
        <w:rPr>
          <w:rFonts w:ascii="Verdana" w:hAnsi="Verdana" w:cs="Arial"/>
          <w:sz w:val="24"/>
          <w:szCs w:val="24"/>
        </w:rPr>
        <w:t>reconciled to the balance sheet</w:t>
      </w:r>
      <w:r w:rsidR="00744BA9" w:rsidRPr="000D14F7">
        <w:rPr>
          <w:rFonts w:ascii="Verdana" w:hAnsi="Verdana" w:cs="Arial"/>
          <w:sz w:val="24"/>
          <w:szCs w:val="24"/>
        </w:rPr>
        <w:t xml:space="preserve"> and/or income statement</w:t>
      </w:r>
      <w:r w:rsidRPr="000D14F7">
        <w:rPr>
          <w:rFonts w:ascii="Verdana" w:hAnsi="Verdana" w:cs="Arial"/>
          <w:sz w:val="24"/>
          <w:szCs w:val="24"/>
        </w:rPr>
        <w:t>.</w:t>
      </w:r>
      <w:r w:rsidR="007D1C85" w:rsidRPr="000D14F7">
        <w:rPr>
          <w:rFonts w:ascii="Verdana" w:hAnsi="Verdana" w:cs="Arial"/>
          <w:sz w:val="24"/>
          <w:szCs w:val="24"/>
        </w:rPr>
        <w:br/>
      </w:r>
    </w:p>
    <w:p w:rsidR="007D1C85" w:rsidRPr="000D14F7" w:rsidRDefault="00744BA9" w:rsidP="00C60E3E">
      <w:pPr>
        <w:pStyle w:val="ListParagraph"/>
        <w:numPr>
          <w:ilvl w:val="0"/>
          <w:numId w:val="24"/>
        </w:numPr>
        <w:rPr>
          <w:rFonts w:ascii="Verdana" w:hAnsi="Verdana" w:cs="Arial"/>
          <w:sz w:val="24"/>
          <w:szCs w:val="24"/>
        </w:rPr>
      </w:pPr>
      <w:r w:rsidRPr="000D14F7">
        <w:rPr>
          <w:rFonts w:ascii="Verdana" w:hAnsi="Verdana" w:cs="Arial"/>
          <w:sz w:val="24"/>
          <w:szCs w:val="24"/>
        </w:rPr>
        <w:t xml:space="preserve">The generic “New Accounting Standards” section in which companies cite new standards </w:t>
      </w:r>
      <w:r w:rsidRPr="000D14F7">
        <w:rPr>
          <w:rFonts w:ascii="Verdana" w:hAnsi="Verdana" w:cs="Arial"/>
          <w:i/>
          <w:sz w:val="24"/>
          <w:szCs w:val="24"/>
        </w:rPr>
        <w:t>ad nauseam</w:t>
      </w:r>
      <w:r w:rsidR="00AF13C7" w:rsidRPr="000D14F7">
        <w:rPr>
          <w:rFonts w:ascii="Verdana" w:hAnsi="Verdana" w:cs="Arial"/>
          <w:i/>
          <w:sz w:val="24"/>
          <w:szCs w:val="24"/>
        </w:rPr>
        <w:t>,</w:t>
      </w:r>
      <w:r w:rsidRPr="000D14F7">
        <w:rPr>
          <w:rFonts w:ascii="Verdana" w:hAnsi="Verdana" w:cs="Arial"/>
          <w:sz w:val="24"/>
          <w:szCs w:val="24"/>
        </w:rPr>
        <w:t xml:space="preserve"> and contend that little or no effect on current or future reporting</w:t>
      </w:r>
      <w:r w:rsidR="00AF13C7" w:rsidRPr="000D14F7">
        <w:rPr>
          <w:rFonts w:ascii="Verdana" w:hAnsi="Verdana" w:cs="Arial"/>
          <w:sz w:val="24"/>
          <w:szCs w:val="24"/>
        </w:rPr>
        <w:t xml:space="preserve"> will occur,</w:t>
      </w:r>
      <w:r w:rsidRPr="000D14F7">
        <w:rPr>
          <w:rFonts w:ascii="Verdana" w:hAnsi="Verdana" w:cs="Arial"/>
          <w:sz w:val="24"/>
          <w:szCs w:val="24"/>
        </w:rPr>
        <w:t xml:space="preserve"> should be eliminated in entirety.  Instead, if a new standard will have an impact, then it should be discussed </w:t>
      </w:r>
      <w:r w:rsidR="00AF13C7" w:rsidRPr="000D14F7">
        <w:rPr>
          <w:rFonts w:ascii="Verdana" w:hAnsi="Verdana" w:cs="Arial"/>
          <w:sz w:val="24"/>
          <w:szCs w:val="24"/>
        </w:rPr>
        <w:t>in the specific financial statement line item note affected together with a pro-forma schedule showing the potential impact</w:t>
      </w:r>
      <w:r w:rsidRPr="000D14F7">
        <w:rPr>
          <w:rFonts w:ascii="Verdana" w:hAnsi="Verdana" w:cs="Arial"/>
          <w:sz w:val="24"/>
          <w:szCs w:val="24"/>
        </w:rPr>
        <w:t>.</w:t>
      </w:r>
    </w:p>
    <w:p w:rsidR="00B94CDA" w:rsidRPr="000D14F7" w:rsidRDefault="00B94CDA" w:rsidP="0000345B">
      <w:pPr>
        <w:rPr>
          <w:rFonts w:ascii="Verdana" w:hAnsi="Verdana" w:cs="Arial"/>
          <w:sz w:val="24"/>
          <w:szCs w:val="24"/>
        </w:rPr>
      </w:pPr>
    </w:p>
    <w:p w:rsidR="00D264A7" w:rsidRPr="000D14F7" w:rsidRDefault="00A12949" w:rsidP="0000345B">
      <w:pPr>
        <w:rPr>
          <w:rFonts w:ascii="Verdana" w:hAnsi="Verdana" w:cs="Arial"/>
          <w:sz w:val="24"/>
          <w:szCs w:val="24"/>
        </w:rPr>
      </w:pPr>
      <w:r w:rsidRPr="000D14F7">
        <w:rPr>
          <w:rFonts w:ascii="Verdana" w:hAnsi="Verdana" w:cs="Arial"/>
          <w:sz w:val="24"/>
          <w:szCs w:val="24"/>
        </w:rPr>
        <w:lastRenderedPageBreak/>
        <w:t>A</w:t>
      </w:r>
      <w:r w:rsidR="00D264A7" w:rsidRPr="000D14F7">
        <w:rPr>
          <w:rFonts w:ascii="Verdana" w:hAnsi="Verdana" w:cs="Arial"/>
          <w:sz w:val="24"/>
          <w:szCs w:val="24"/>
        </w:rPr>
        <w:t>ny</w:t>
      </w:r>
      <w:r w:rsidRPr="000D14F7">
        <w:rPr>
          <w:rFonts w:ascii="Verdana" w:hAnsi="Verdana" w:cs="Arial"/>
          <w:sz w:val="24"/>
          <w:szCs w:val="24"/>
        </w:rPr>
        <w:t xml:space="preserve"> frequent reader of today’s corporate financial statements recognizes the unbalanced coverage present in most all reports.  </w:t>
      </w:r>
      <w:r w:rsidR="00D264A7" w:rsidRPr="000D14F7">
        <w:rPr>
          <w:rFonts w:ascii="Verdana" w:hAnsi="Verdana" w:cs="Arial"/>
          <w:sz w:val="24"/>
          <w:szCs w:val="24"/>
        </w:rPr>
        <w:t xml:space="preserve">One specific example </w:t>
      </w:r>
      <w:r w:rsidRPr="000D14F7">
        <w:rPr>
          <w:rFonts w:ascii="Verdana" w:hAnsi="Verdana" w:cs="Arial"/>
          <w:sz w:val="24"/>
          <w:szCs w:val="24"/>
        </w:rPr>
        <w:t>is the level of discussion and detail presented for revenue recognition vis-à-vis pension pla</w:t>
      </w:r>
      <w:r w:rsidR="00D264A7" w:rsidRPr="000D14F7">
        <w:rPr>
          <w:rFonts w:ascii="Verdana" w:hAnsi="Verdana" w:cs="Arial"/>
          <w:sz w:val="24"/>
          <w:szCs w:val="24"/>
        </w:rPr>
        <w:t xml:space="preserve">n or stock compensation plans. </w:t>
      </w:r>
      <w:r w:rsidRPr="000D14F7">
        <w:rPr>
          <w:rFonts w:ascii="Verdana" w:hAnsi="Verdana" w:cs="Arial"/>
          <w:sz w:val="24"/>
          <w:szCs w:val="24"/>
        </w:rPr>
        <w:t xml:space="preserve">The later generally consume </w:t>
      </w:r>
      <w:r w:rsidR="00D264A7" w:rsidRPr="000D14F7">
        <w:rPr>
          <w:rFonts w:ascii="Verdana" w:hAnsi="Verdana" w:cs="Arial"/>
          <w:sz w:val="24"/>
          <w:szCs w:val="24"/>
        </w:rPr>
        <w:t xml:space="preserve">at least </w:t>
      </w:r>
      <w:r w:rsidRPr="000D14F7">
        <w:rPr>
          <w:rFonts w:ascii="Verdana" w:hAnsi="Verdana" w:cs="Arial"/>
          <w:sz w:val="24"/>
          <w:szCs w:val="24"/>
        </w:rPr>
        <w:t xml:space="preserve">three to four pages </w:t>
      </w:r>
      <w:r w:rsidR="00B37881">
        <w:rPr>
          <w:rFonts w:ascii="Verdana" w:hAnsi="Verdana" w:cs="Arial"/>
          <w:sz w:val="24"/>
          <w:szCs w:val="24"/>
        </w:rPr>
        <w:t>each</w:t>
      </w:r>
      <w:r w:rsidR="00B37881" w:rsidRPr="000D14F7">
        <w:rPr>
          <w:rFonts w:ascii="Verdana" w:hAnsi="Verdana" w:cs="Arial"/>
          <w:sz w:val="24"/>
          <w:szCs w:val="24"/>
        </w:rPr>
        <w:t xml:space="preserve"> </w:t>
      </w:r>
      <w:r w:rsidRPr="000D14F7">
        <w:rPr>
          <w:rFonts w:ascii="Verdana" w:hAnsi="Verdana" w:cs="Arial"/>
          <w:sz w:val="24"/>
          <w:szCs w:val="24"/>
        </w:rPr>
        <w:t xml:space="preserve">of note disclosures, while revenue recognition may get a page of disclosure at most.  And which number do </w:t>
      </w:r>
      <w:r w:rsidR="00D264A7" w:rsidRPr="000D14F7">
        <w:rPr>
          <w:rFonts w:ascii="Verdana" w:hAnsi="Verdana" w:cs="Arial"/>
          <w:sz w:val="24"/>
          <w:szCs w:val="24"/>
        </w:rPr>
        <w:t>you think investors value more highly</w:t>
      </w:r>
      <w:r w:rsidRPr="000D14F7">
        <w:rPr>
          <w:rFonts w:ascii="Verdana" w:hAnsi="Verdana" w:cs="Arial"/>
          <w:sz w:val="24"/>
          <w:szCs w:val="24"/>
        </w:rPr>
        <w:t>?  Yes, clearly we need expanded note disclosure</w:t>
      </w:r>
      <w:r w:rsidR="00D264A7" w:rsidRPr="000D14F7">
        <w:rPr>
          <w:rFonts w:ascii="Verdana" w:hAnsi="Verdana" w:cs="Arial"/>
          <w:sz w:val="24"/>
          <w:szCs w:val="24"/>
        </w:rPr>
        <w:t>s</w:t>
      </w:r>
      <w:r w:rsidRPr="000D14F7">
        <w:rPr>
          <w:rFonts w:ascii="Verdana" w:hAnsi="Verdana" w:cs="Arial"/>
          <w:sz w:val="24"/>
          <w:szCs w:val="24"/>
        </w:rPr>
        <w:t xml:space="preserve"> for</w:t>
      </w:r>
      <w:r w:rsidR="00D264A7" w:rsidRPr="000D14F7">
        <w:rPr>
          <w:rFonts w:ascii="Verdana" w:hAnsi="Verdana" w:cs="Arial"/>
          <w:sz w:val="24"/>
          <w:szCs w:val="24"/>
        </w:rPr>
        <w:t xml:space="preserve"> revenue, cost of goods sold, and other P&amp;L line items. </w:t>
      </w:r>
    </w:p>
    <w:p w:rsidR="00D264A7" w:rsidRPr="000D14F7" w:rsidRDefault="00D264A7" w:rsidP="0000345B">
      <w:pPr>
        <w:rPr>
          <w:rFonts w:ascii="Verdana" w:hAnsi="Verdana" w:cs="Arial"/>
          <w:sz w:val="24"/>
          <w:szCs w:val="24"/>
        </w:rPr>
      </w:pPr>
    </w:p>
    <w:p w:rsidR="00A12949" w:rsidRPr="000D14F7" w:rsidRDefault="00D264A7" w:rsidP="0000345B">
      <w:pPr>
        <w:rPr>
          <w:rFonts w:ascii="Verdana" w:hAnsi="Verdana" w:cs="Arial"/>
          <w:sz w:val="24"/>
          <w:szCs w:val="24"/>
        </w:rPr>
      </w:pPr>
      <w:r w:rsidRPr="000D14F7">
        <w:rPr>
          <w:rFonts w:ascii="Verdana" w:hAnsi="Verdana" w:cs="Arial"/>
          <w:sz w:val="24"/>
          <w:szCs w:val="24"/>
        </w:rPr>
        <w:t>The FASB while pursuing their Disclosure Framework project might also wish to consider investigating the “linkages” between existing note reporting requirements.  For example:</w:t>
      </w:r>
      <w:r w:rsidR="00A12949" w:rsidRPr="000D14F7">
        <w:rPr>
          <w:rFonts w:ascii="Verdana" w:hAnsi="Verdana" w:cs="Arial"/>
          <w:sz w:val="24"/>
          <w:szCs w:val="24"/>
        </w:rPr>
        <w:br/>
      </w:r>
    </w:p>
    <w:p w:rsidR="00611266" w:rsidRPr="000D14F7" w:rsidRDefault="00D264A7" w:rsidP="00404D1A">
      <w:pPr>
        <w:pStyle w:val="ListParagraph"/>
        <w:numPr>
          <w:ilvl w:val="0"/>
          <w:numId w:val="26"/>
        </w:numPr>
        <w:rPr>
          <w:rFonts w:ascii="Verdana" w:hAnsi="Verdana" w:cs="Arial"/>
          <w:sz w:val="24"/>
          <w:szCs w:val="24"/>
        </w:rPr>
      </w:pPr>
      <w:r w:rsidRPr="000D14F7">
        <w:rPr>
          <w:rFonts w:ascii="Verdana" w:hAnsi="Verdana" w:cs="Arial"/>
          <w:sz w:val="24"/>
          <w:szCs w:val="24"/>
        </w:rPr>
        <w:t>An entity’s acquisition note s</w:t>
      </w:r>
      <w:r w:rsidR="00493F2B" w:rsidRPr="000D14F7">
        <w:rPr>
          <w:rFonts w:ascii="Verdana" w:hAnsi="Verdana" w:cs="Arial"/>
          <w:sz w:val="24"/>
          <w:szCs w:val="24"/>
        </w:rPr>
        <w:t xml:space="preserve">hould </w:t>
      </w:r>
      <w:r w:rsidRPr="000D14F7">
        <w:rPr>
          <w:rFonts w:ascii="Verdana" w:hAnsi="Verdana" w:cs="Arial"/>
          <w:sz w:val="24"/>
          <w:szCs w:val="24"/>
        </w:rPr>
        <w:t xml:space="preserve">include </w:t>
      </w:r>
      <w:r w:rsidR="00493F2B" w:rsidRPr="000D14F7">
        <w:rPr>
          <w:rFonts w:ascii="Verdana" w:hAnsi="Verdana" w:cs="Arial"/>
          <w:sz w:val="24"/>
          <w:szCs w:val="24"/>
        </w:rPr>
        <w:t>not only transaction specifics but also tie to the statement of cash flows as well as financial statement note disclosures for goodwill and intangibles, acquisition costs incurred, etc.  Also, the note should specifically discuss how intangibles are allocated to reporting segments.</w:t>
      </w:r>
      <w:r w:rsidR="00611266" w:rsidRPr="000D14F7">
        <w:rPr>
          <w:rFonts w:ascii="Verdana" w:hAnsi="Verdana" w:cs="Arial"/>
          <w:sz w:val="24"/>
          <w:szCs w:val="24"/>
        </w:rPr>
        <w:br/>
      </w:r>
    </w:p>
    <w:p w:rsidR="00D264A7" w:rsidRPr="000D14F7" w:rsidRDefault="00611266" w:rsidP="00404D1A">
      <w:pPr>
        <w:pStyle w:val="ListParagraph"/>
        <w:numPr>
          <w:ilvl w:val="0"/>
          <w:numId w:val="26"/>
        </w:numPr>
        <w:rPr>
          <w:rFonts w:ascii="Verdana" w:hAnsi="Verdana" w:cs="Arial"/>
          <w:sz w:val="24"/>
          <w:szCs w:val="24"/>
        </w:rPr>
      </w:pPr>
      <w:r w:rsidRPr="000D14F7">
        <w:rPr>
          <w:rFonts w:ascii="Verdana" w:hAnsi="Verdana" w:cs="Arial"/>
          <w:sz w:val="24"/>
          <w:szCs w:val="24"/>
        </w:rPr>
        <w:t xml:space="preserve">Any note disclosures describing  “unusual” asset write-downs (e.g., impairments, etc.) or liability accruals (e.g., asset retirement obligations, etc.) that rely on discounted cash flow techniques should provide detailed schedules to support amounts reported including cash flow estimates, discount rates used, terms assumed, etc.  </w:t>
      </w:r>
      <w:r w:rsidR="00D264A7" w:rsidRPr="000D14F7">
        <w:rPr>
          <w:rFonts w:ascii="Verdana" w:hAnsi="Verdana" w:cs="Arial"/>
          <w:sz w:val="24"/>
          <w:szCs w:val="24"/>
        </w:rPr>
        <w:br/>
      </w:r>
    </w:p>
    <w:p w:rsidR="00710400" w:rsidRPr="000D14F7" w:rsidRDefault="000F0901" w:rsidP="00710400">
      <w:pPr>
        <w:pStyle w:val="ListParagraph"/>
        <w:numPr>
          <w:ilvl w:val="0"/>
          <w:numId w:val="26"/>
        </w:numPr>
        <w:rPr>
          <w:rFonts w:ascii="Verdana" w:hAnsi="Verdana" w:cs="Arial"/>
          <w:sz w:val="24"/>
          <w:szCs w:val="24"/>
        </w:rPr>
      </w:pPr>
      <w:r w:rsidRPr="000D14F7">
        <w:rPr>
          <w:rFonts w:ascii="Verdana" w:hAnsi="Verdana" w:cs="Arial"/>
          <w:sz w:val="24"/>
          <w:szCs w:val="24"/>
        </w:rPr>
        <w:t xml:space="preserve">To support the statement of cash flows, a separate cash flow note should be added that reconciles the indirect method </w:t>
      </w:r>
      <w:r w:rsidR="00AF13C7" w:rsidRPr="000D14F7">
        <w:rPr>
          <w:rFonts w:ascii="Verdana" w:hAnsi="Verdana" w:cs="Arial"/>
          <w:sz w:val="24"/>
          <w:szCs w:val="24"/>
        </w:rPr>
        <w:t xml:space="preserve">(operating section) </w:t>
      </w:r>
      <w:r w:rsidRPr="000D14F7">
        <w:rPr>
          <w:rFonts w:ascii="Verdana" w:hAnsi="Verdana" w:cs="Arial"/>
          <w:sz w:val="24"/>
          <w:szCs w:val="24"/>
        </w:rPr>
        <w:t>items listed to the balance sheet and income statement reported amounts.  Increasingly, the reported items in the indirect method operating sections do not tie out to balance sheet changes (and the differences are not necessarily due to acquisitions</w:t>
      </w:r>
      <w:r w:rsidR="00710400">
        <w:rPr>
          <w:rFonts w:ascii="Verdana" w:hAnsi="Verdana" w:cs="Arial"/>
          <w:sz w:val="24"/>
          <w:szCs w:val="24"/>
        </w:rPr>
        <w:t xml:space="preserve"> and foreign currency effects only</w:t>
      </w:r>
      <w:r w:rsidRPr="000D14F7">
        <w:rPr>
          <w:rFonts w:ascii="Verdana" w:hAnsi="Verdana" w:cs="Arial"/>
          <w:sz w:val="24"/>
          <w:szCs w:val="24"/>
        </w:rPr>
        <w:t>).</w:t>
      </w:r>
      <w:r w:rsidR="00710400" w:rsidRPr="000D14F7">
        <w:rPr>
          <w:rFonts w:ascii="Verdana" w:hAnsi="Verdana" w:cs="Arial"/>
          <w:sz w:val="24"/>
          <w:szCs w:val="24"/>
        </w:rPr>
        <w:t xml:space="preserve">  </w:t>
      </w:r>
      <w:r w:rsidR="00767EDC">
        <w:rPr>
          <w:rFonts w:ascii="Verdana" w:hAnsi="Verdana" w:cs="Arial"/>
          <w:sz w:val="24"/>
          <w:szCs w:val="24"/>
        </w:rPr>
        <w:t>For example, a</w:t>
      </w:r>
      <w:r w:rsidR="00710400" w:rsidRPr="000D14F7">
        <w:rPr>
          <w:rFonts w:ascii="Verdana" w:hAnsi="Verdana" w:cs="Arial"/>
          <w:sz w:val="24"/>
          <w:szCs w:val="24"/>
        </w:rPr>
        <w:t xml:space="preserve"> schedule </w:t>
      </w:r>
      <w:r w:rsidR="00FD7B36">
        <w:rPr>
          <w:rFonts w:ascii="Verdana" w:hAnsi="Verdana" w:cs="Arial"/>
          <w:sz w:val="24"/>
          <w:szCs w:val="24"/>
        </w:rPr>
        <w:t xml:space="preserve">for Accounts Receivable </w:t>
      </w:r>
      <w:r w:rsidR="00710400" w:rsidRPr="000D14F7">
        <w:rPr>
          <w:rFonts w:ascii="Verdana" w:hAnsi="Verdana" w:cs="Arial"/>
          <w:sz w:val="24"/>
          <w:szCs w:val="24"/>
        </w:rPr>
        <w:t>might look something like this:</w:t>
      </w:r>
    </w:p>
    <w:p w:rsidR="00C74958" w:rsidRDefault="00C74958">
      <w:pPr>
        <w:rPr>
          <w:rFonts w:ascii="Verdana" w:hAnsi="Verdana"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5"/>
        <w:gridCol w:w="1440"/>
        <w:gridCol w:w="1530"/>
        <w:gridCol w:w="1438"/>
      </w:tblGrid>
      <w:tr w:rsidR="005E3EB7" w:rsidRPr="00FD7B36" w:rsidTr="00B32424">
        <w:trPr>
          <w:jc w:val="center"/>
        </w:trPr>
        <w:tc>
          <w:tcPr>
            <w:tcW w:w="2705" w:type="dxa"/>
          </w:tcPr>
          <w:p w:rsidR="005E3EB7" w:rsidRDefault="005E3EB7">
            <w:pPr>
              <w:jc w:val="center"/>
              <w:rPr>
                <w:rFonts w:ascii="Verdana" w:hAnsi="Verdana" w:cs="Times New Roman"/>
                <w:b/>
                <w:sz w:val="20"/>
                <w:szCs w:val="20"/>
              </w:rPr>
            </w:pPr>
          </w:p>
          <w:p w:rsidR="00B32424" w:rsidRDefault="00B32424">
            <w:pPr>
              <w:jc w:val="center"/>
              <w:rPr>
                <w:rFonts w:ascii="Verdana" w:hAnsi="Verdana" w:cs="Times New Roman"/>
                <w:b/>
                <w:sz w:val="20"/>
                <w:szCs w:val="20"/>
              </w:rPr>
            </w:pPr>
          </w:p>
          <w:p w:rsidR="005E3EB7" w:rsidRDefault="005E3EB7">
            <w:pPr>
              <w:jc w:val="center"/>
              <w:rPr>
                <w:rFonts w:ascii="Verdana" w:hAnsi="Verdana" w:cs="Times New Roman"/>
                <w:b/>
                <w:sz w:val="20"/>
                <w:szCs w:val="20"/>
              </w:rPr>
            </w:pPr>
            <w:r w:rsidRPr="004C3644">
              <w:rPr>
                <w:rFonts w:ascii="Verdana" w:hAnsi="Verdana" w:cs="Times New Roman"/>
                <w:b/>
                <w:sz w:val="20"/>
                <w:szCs w:val="20"/>
              </w:rPr>
              <w:t>Item</w:t>
            </w:r>
          </w:p>
        </w:tc>
        <w:tc>
          <w:tcPr>
            <w:tcW w:w="1440" w:type="dxa"/>
          </w:tcPr>
          <w:p w:rsidR="005E3EB7" w:rsidRDefault="005E3EB7">
            <w:pPr>
              <w:jc w:val="center"/>
              <w:rPr>
                <w:rFonts w:ascii="Verdana" w:hAnsi="Verdana" w:cs="Times New Roman"/>
                <w:b/>
                <w:sz w:val="20"/>
                <w:szCs w:val="20"/>
              </w:rPr>
            </w:pPr>
          </w:p>
          <w:p w:rsidR="005E3EB7" w:rsidRDefault="005E3EB7">
            <w:pPr>
              <w:jc w:val="center"/>
              <w:rPr>
                <w:rFonts w:ascii="Verdana" w:hAnsi="Verdana" w:cs="Times New Roman"/>
                <w:b/>
                <w:sz w:val="20"/>
                <w:szCs w:val="20"/>
              </w:rPr>
            </w:pPr>
            <w:r w:rsidRPr="004C3644">
              <w:rPr>
                <w:rFonts w:ascii="Verdana" w:hAnsi="Verdana" w:cs="Times New Roman"/>
                <w:b/>
                <w:sz w:val="20"/>
                <w:szCs w:val="20"/>
              </w:rPr>
              <w:t xml:space="preserve">Income </w:t>
            </w:r>
            <w:r w:rsidRPr="004C3644">
              <w:rPr>
                <w:rFonts w:ascii="Verdana" w:hAnsi="Verdana" w:cs="Times New Roman"/>
                <w:b/>
                <w:sz w:val="20"/>
                <w:szCs w:val="20"/>
              </w:rPr>
              <w:br/>
              <w:t>Statement</w:t>
            </w:r>
          </w:p>
        </w:tc>
        <w:tc>
          <w:tcPr>
            <w:tcW w:w="1530" w:type="dxa"/>
          </w:tcPr>
          <w:p w:rsidR="005E3EB7" w:rsidRDefault="005E3EB7">
            <w:pPr>
              <w:jc w:val="center"/>
              <w:rPr>
                <w:rFonts w:ascii="Verdana" w:hAnsi="Verdana" w:cs="Times New Roman"/>
                <w:b/>
                <w:sz w:val="20"/>
                <w:szCs w:val="20"/>
              </w:rPr>
            </w:pPr>
          </w:p>
          <w:p w:rsidR="005E3EB7" w:rsidRDefault="005E3EB7">
            <w:pPr>
              <w:jc w:val="center"/>
              <w:rPr>
                <w:rFonts w:ascii="Verdana" w:hAnsi="Verdana" w:cs="Times New Roman"/>
                <w:b/>
                <w:sz w:val="20"/>
                <w:szCs w:val="20"/>
              </w:rPr>
            </w:pPr>
            <w:r w:rsidRPr="004C3644">
              <w:rPr>
                <w:rFonts w:ascii="Verdana" w:hAnsi="Verdana" w:cs="Times New Roman"/>
                <w:b/>
                <w:sz w:val="20"/>
                <w:szCs w:val="20"/>
              </w:rPr>
              <w:t>Cash Flow</w:t>
            </w:r>
            <w:r w:rsidRPr="004C3644">
              <w:rPr>
                <w:rFonts w:ascii="Verdana" w:hAnsi="Verdana" w:cs="Times New Roman"/>
                <w:b/>
                <w:sz w:val="20"/>
                <w:szCs w:val="20"/>
              </w:rPr>
              <w:br/>
              <w:t>Statement</w:t>
            </w:r>
          </w:p>
        </w:tc>
        <w:tc>
          <w:tcPr>
            <w:tcW w:w="1438" w:type="dxa"/>
          </w:tcPr>
          <w:p w:rsidR="005E3EB7" w:rsidRDefault="005E3EB7" w:rsidP="00B32424">
            <w:pPr>
              <w:jc w:val="center"/>
              <w:rPr>
                <w:rFonts w:ascii="Verdana" w:hAnsi="Verdana" w:cs="Times New Roman"/>
                <w:b/>
                <w:sz w:val="20"/>
                <w:szCs w:val="20"/>
              </w:rPr>
            </w:pPr>
            <w:r w:rsidRPr="004C3644">
              <w:rPr>
                <w:rFonts w:ascii="Verdana" w:hAnsi="Verdana" w:cs="Times New Roman"/>
                <w:b/>
                <w:sz w:val="20"/>
                <w:szCs w:val="20"/>
              </w:rPr>
              <w:t>Reconcil</w:t>
            </w:r>
            <w:r w:rsidR="0038706A">
              <w:rPr>
                <w:rFonts w:ascii="Verdana" w:hAnsi="Verdana" w:cs="Times New Roman"/>
                <w:b/>
                <w:sz w:val="20"/>
                <w:szCs w:val="20"/>
              </w:rPr>
              <w:t>e</w:t>
            </w:r>
            <w:r w:rsidR="00B32424">
              <w:rPr>
                <w:rFonts w:ascii="Verdana" w:hAnsi="Verdana" w:cs="Times New Roman"/>
                <w:b/>
                <w:sz w:val="20"/>
                <w:szCs w:val="20"/>
              </w:rPr>
              <w:br/>
              <w:t>to</w:t>
            </w:r>
            <w:r w:rsidR="00B32424">
              <w:rPr>
                <w:rFonts w:ascii="Verdana" w:hAnsi="Verdana" w:cs="Times New Roman"/>
                <w:b/>
                <w:sz w:val="20"/>
                <w:szCs w:val="20"/>
              </w:rPr>
              <w:br/>
            </w:r>
            <w:r w:rsidRPr="004C3644">
              <w:rPr>
                <w:rFonts w:ascii="Verdana" w:hAnsi="Verdana" w:cs="Times New Roman"/>
                <w:b/>
                <w:sz w:val="20"/>
                <w:szCs w:val="20"/>
              </w:rPr>
              <w:t xml:space="preserve"> Balance Sheet</w:t>
            </w:r>
          </w:p>
        </w:tc>
      </w:tr>
      <w:tr w:rsidR="005E3EB7" w:rsidRPr="00FD7B36" w:rsidTr="00B32424">
        <w:trPr>
          <w:jc w:val="center"/>
        </w:trPr>
        <w:tc>
          <w:tcPr>
            <w:tcW w:w="2705" w:type="dxa"/>
          </w:tcPr>
          <w:p w:rsidR="005E3EB7" w:rsidRPr="00FD7B36" w:rsidRDefault="005E3EB7" w:rsidP="0051695C">
            <w:pPr>
              <w:rPr>
                <w:rFonts w:ascii="Verdana" w:hAnsi="Verdana" w:cs="Times New Roman"/>
                <w:sz w:val="20"/>
                <w:szCs w:val="20"/>
              </w:rPr>
            </w:pPr>
          </w:p>
        </w:tc>
        <w:tc>
          <w:tcPr>
            <w:tcW w:w="1440" w:type="dxa"/>
          </w:tcPr>
          <w:p w:rsidR="005E3EB7" w:rsidRPr="00FD7B36" w:rsidRDefault="005E3EB7" w:rsidP="0051695C">
            <w:pPr>
              <w:rPr>
                <w:rFonts w:ascii="Verdana" w:hAnsi="Verdana" w:cs="Courier New"/>
                <w:sz w:val="20"/>
                <w:szCs w:val="20"/>
              </w:rPr>
            </w:pPr>
          </w:p>
        </w:tc>
        <w:tc>
          <w:tcPr>
            <w:tcW w:w="1530" w:type="dxa"/>
          </w:tcPr>
          <w:p w:rsidR="005E3EB7" w:rsidRPr="00FD7B36" w:rsidRDefault="005E3EB7" w:rsidP="0051695C">
            <w:pPr>
              <w:rPr>
                <w:rFonts w:ascii="Verdana" w:hAnsi="Verdana" w:cs="Courier New"/>
                <w:sz w:val="20"/>
                <w:szCs w:val="20"/>
              </w:rPr>
            </w:pPr>
          </w:p>
        </w:tc>
        <w:tc>
          <w:tcPr>
            <w:tcW w:w="1438" w:type="dxa"/>
          </w:tcPr>
          <w:p w:rsidR="005E3EB7" w:rsidRPr="00FD7B36" w:rsidRDefault="005E3EB7" w:rsidP="0051695C">
            <w:pPr>
              <w:rPr>
                <w:rFonts w:ascii="Verdana" w:hAnsi="Verdana" w:cs="Courier New"/>
                <w:sz w:val="20"/>
                <w:szCs w:val="20"/>
              </w:rPr>
            </w:pPr>
          </w:p>
        </w:tc>
      </w:tr>
      <w:tr w:rsidR="005E3EB7" w:rsidRPr="00FD7B36" w:rsidTr="00B32424">
        <w:trPr>
          <w:jc w:val="center"/>
        </w:trPr>
        <w:tc>
          <w:tcPr>
            <w:tcW w:w="2705" w:type="dxa"/>
          </w:tcPr>
          <w:p w:rsidR="005E3EB7" w:rsidRPr="00FD7B36" w:rsidRDefault="005E3EB7" w:rsidP="0051695C">
            <w:pPr>
              <w:rPr>
                <w:rFonts w:ascii="Verdana" w:hAnsi="Verdana" w:cs="Times New Roman"/>
                <w:sz w:val="20"/>
                <w:szCs w:val="20"/>
              </w:rPr>
            </w:pPr>
            <w:r w:rsidRPr="004C3644">
              <w:rPr>
                <w:rFonts w:ascii="Verdana" w:hAnsi="Verdana" w:cs="Times New Roman"/>
                <w:sz w:val="20"/>
                <w:szCs w:val="20"/>
              </w:rPr>
              <w:t>Sales</w:t>
            </w:r>
          </w:p>
        </w:tc>
        <w:tc>
          <w:tcPr>
            <w:tcW w:w="1440" w:type="dxa"/>
          </w:tcPr>
          <w:p w:rsidR="005E3EB7" w:rsidRDefault="005E3EB7">
            <w:pPr>
              <w:jc w:val="right"/>
              <w:rPr>
                <w:rFonts w:ascii="Verdana" w:hAnsi="Verdana" w:cs="Courier New"/>
                <w:sz w:val="20"/>
                <w:szCs w:val="20"/>
              </w:rPr>
            </w:pPr>
            <w:r w:rsidRPr="004C3644">
              <w:rPr>
                <w:rFonts w:ascii="Verdana" w:hAnsi="Verdana" w:cs="Courier New"/>
                <w:sz w:val="20"/>
                <w:szCs w:val="20"/>
              </w:rPr>
              <w:t>60,500</w:t>
            </w:r>
          </w:p>
        </w:tc>
        <w:tc>
          <w:tcPr>
            <w:tcW w:w="1530" w:type="dxa"/>
          </w:tcPr>
          <w:p w:rsidR="005E3EB7" w:rsidRDefault="005E3EB7">
            <w:pPr>
              <w:jc w:val="right"/>
              <w:rPr>
                <w:rFonts w:ascii="Verdana" w:hAnsi="Verdana" w:cs="Courier New"/>
                <w:sz w:val="20"/>
                <w:szCs w:val="20"/>
              </w:rPr>
            </w:pPr>
            <w:r w:rsidRPr="004C3644">
              <w:rPr>
                <w:rFonts w:ascii="Verdana" w:hAnsi="Verdana" w:cs="Courier New"/>
                <w:sz w:val="20"/>
                <w:szCs w:val="20"/>
              </w:rPr>
              <w:t>8,100</w:t>
            </w:r>
          </w:p>
        </w:tc>
        <w:tc>
          <w:tcPr>
            <w:tcW w:w="1438" w:type="dxa"/>
          </w:tcPr>
          <w:p w:rsidR="005E3EB7" w:rsidRDefault="005E3EB7">
            <w:pPr>
              <w:jc w:val="right"/>
              <w:rPr>
                <w:rFonts w:ascii="Verdana" w:hAnsi="Verdana" w:cs="Courier New"/>
                <w:sz w:val="20"/>
                <w:szCs w:val="20"/>
              </w:rPr>
            </w:pPr>
            <w:r w:rsidRPr="004C3644">
              <w:rPr>
                <w:rFonts w:ascii="Verdana" w:hAnsi="Verdana" w:cs="Courier New"/>
                <w:sz w:val="20"/>
                <w:szCs w:val="20"/>
              </w:rPr>
              <w:t>52,400</w:t>
            </w:r>
          </w:p>
        </w:tc>
      </w:tr>
      <w:tr w:rsidR="005E3EB7" w:rsidRPr="00FD7B36" w:rsidTr="00B32424">
        <w:trPr>
          <w:jc w:val="center"/>
        </w:trPr>
        <w:tc>
          <w:tcPr>
            <w:tcW w:w="2705" w:type="dxa"/>
          </w:tcPr>
          <w:p w:rsidR="005E3EB7" w:rsidRPr="00FD7B36" w:rsidRDefault="005E3EB7" w:rsidP="0051695C">
            <w:pPr>
              <w:rPr>
                <w:rFonts w:ascii="Verdana" w:hAnsi="Verdana" w:cs="Times New Roman"/>
                <w:sz w:val="20"/>
                <w:szCs w:val="20"/>
              </w:rPr>
            </w:pPr>
            <w:r w:rsidRPr="004C3644">
              <w:rPr>
                <w:rFonts w:ascii="Verdana" w:hAnsi="Verdana" w:cs="Times New Roman"/>
                <w:sz w:val="20"/>
                <w:szCs w:val="20"/>
              </w:rPr>
              <w:t>Bad debts (net)</w:t>
            </w:r>
          </w:p>
        </w:tc>
        <w:tc>
          <w:tcPr>
            <w:tcW w:w="1440" w:type="dxa"/>
          </w:tcPr>
          <w:p w:rsidR="005E3EB7" w:rsidRDefault="005E3EB7">
            <w:pPr>
              <w:jc w:val="right"/>
              <w:rPr>
                <w:rFonts w:ascii="Verdana" w:hAnsi="Verdana" w:cs="Courier New"/>
                <w:sz w:val="20"/>
                <w:szCs w:val="20"/>
              </w:rPr>
            </w:pPr>
            <w:r w:rsidRPr="004C3644">
              <w:rPr>
                <w:rFonts w:ascii="Verdana" w:hAnsi="Verdana" w:cs="Courier New"/>
                <w:sz w:val="20"/>
                <w:szCs w:val="20"/>
              </w:rPr>
              <w:t>(800)</w:t>
            </w:r>
          </w:p>
        </w:tc>
        <w:tc>
          <w:tcPr>
            <w:tcW w:w="1530" w:type="dxa"/>
          </w:tcPr>
          <w:p w:rsidR="005E3EB7" w:rsidRDefault="005E3EB7">
            <w:pPr>
              <w:jc w:val="right"/>
              <w:rPr>
                <w:rFonts w:ascii="Verdana" w:hAnsi="Verdana" w:cs="Courier New"/>
                <w:sz w:val="20"/>
                <w:szCs w:val="20"/>
              </w:rPr>
            </w:pPr>
          </w:p>
        </w:tc>
        <w:tc>
          <w:tcPr>
            <w:tcW w:w="1438" w:type="dxa"/>
          </w:tcPr>
          <w:p w:rsidR="005E3EB7" w:rsidRDefault="005E3EB7">
            <w:pPr>
              <w:jc w:val="right"/>
              <w:rPr>
                <w:rFonts w:ascii="Verdana" w:hAnsi="Verdana" w:cs="Courier New"/>
                <w:sz w:val="20"/>
                <w:szCs w:val="20"/>
              </w:rPr>
            </w:pPr>
            <w:r w:rsidRPr="004C3644">
              <w:rPr>
                <w:rFonts w:ascii="Verdana" w:hAnsi="Verdana" w:cs="Courier New"/>
                <w:sz w:val="20"/>
                <w:szCs w:val="20"/>
              </w:rPr>
              <w:t>(800)</w:t>
            </w:r>
          </w:p>
        </w:tc>
      </w:tr>
      <w:tr w:rsidR="005E3EB7" w:rsidRPr="00FD7B36" w:rsidTr="00B32424">
        <w:trPr>
          <w:jc w:val="center"/>
        </w:trPr>
        <w:tc>
          <w:tcPr>
            <w:tcW w:w="2705" w:type="dxa"/>
          </w:tcPr>
          <w:p w:rsidR="005E3EB7" w:rsidRPr="00FD7B36" w:rsidRDefault="005E3EB7" w:rsidP="0051695C">
            <w:pPr>
              <w:rPr>
                <w:rFonts w:ascii="Verdana" w:hAnsi="Verdana" w:cs="Times New Roman"/>
                <w:sz w:val="20"/>
                <w:szCs w:val="20"/>
              </w:rPr>
            </w:pPr>
            <w:r w:rsidRPr="004C3644">
              <w:rPr>
                <w:rFonts w:ascii="Verdana" w:hAnsi="Verdana" w:cs="Times New Roman"/>
                <w:sz w:val="20"/>
                <w:szCs w:val="20"/>
              </w:rPr>
              <w:t>Securitization</w:t>
            </w:r>
          </w:p>
        </w:tc>
        <w:tc>
          <w:tcPr>
            <w:tcW w:w="1440" w:type="dxa"/>
          </w:tcPr>
          <w:p w:rsidR="005E3EB7" w:rsidRDefault="005E3EB7">
            <w:pPr>
              <w:jc w:val="right"/>
              <w:rPr>
                <w:rFonts w:ascii="Verdana" w:hAnsi="Verdana" w:cs="Courier New"/>
                <w:sz w:val="20"/>
                <w:szCs w:val="20"/>
              </w:rPr>
            </w:pPr>
            <w:r w:rsidRPr="004C3644">
              <w:rPr>
                <w:rFonts w:ascii="Verdana" w:hAnsi="Verdana" w:cs="Courier New"/>
                <w:sz w:val="20"/>
                <w:szCs w:val="20"/>
              </w:rPr>
              <w:t>(200)</w:t>
            </w:r>
          </w:p>
        </w:tc>
        <w:tc>
          <w:tcPr>
            <w:tcW w:w="1530" w:type="dxa"/>
          </w:tcPr>
          <w:p w:rsidR="005E3EB7" w:rsidRDefault="005E3EB7">
            <w:pPr>
              <w:jc w:val="right"/>
              <w:rPr>
                <w:rFonts w:ascii="Verdana" w:hAnsi="Verdana" w:cs="Courier New"/>
                <w:sz w:val="20"/>
                <w:szCs w:val="20"/>
              </w:rPr>
            </w:pPr>
            <w:r w:rsidRPr="004C3644">
              <w:rPr>
                <w:rFonts w:ascii="Verdana" w:hAnsi="Verdana" w:cs="Courier New"/>
                <w:sz w:val="20"/>
                <w:szCs w:val="20"/>
              </w:rPr>
              <w:t>50,000</w:t>
            </w:r>
          </w:p>
        </w:tc>
        <w:tc>
          <w:tcPr>
            <w:tcW w:w="1438" w:type="dxa"/>
          </w:tcPr>
          <w:p w:rsidR="005E3EB7" w:rsidRDefault="005E3EB7">
            <w:pPr>
              <w:jc w:val="right"/>
              <w:rPr>
                <w:rFonts w:ascii="Verdana" w:hAnsi="Verdana" w:cs="Courier New"/>
                <w:sz w:val="20"/>
                <w:szCs w:val="20"/>
              </w:rPr>
            </w:pPr>
            <w:r w:rsidRPr="004C3644">
              <w:rPr>
                <w:rFonts w:ascii="Verdana" w:hAnsi="Verdana" w:cs="Courier New"/>
                <w:sz w:val="20"/>
                <w:szCs w:val="20"/>
              </w:rPr>
              <w:t>(50,200)</w:t>
            </w:r>
          </w:p>
        </w:tc>
      </w:tr>
      <w:tr w:rsidR="005E3EB7" w:rsidRPr="00FD7B36" w:rsidTr="00B32424">
        <w:trPr>
          <w:jc w:val="center"/>
        </w:trPr>
        <w:tc>
          <w:tcPr>
            <w:tcW w:w="2705" w:type="dxa"/>
          </w:tcPr>
          <w:p w:rsidR="005E3EB7" w:rsidRPr="00FD7B36" w:rsidRDefault="005E3EB7" w:rsidP="0051695C">
            <w:pPr>
              <w:rPr>
                <w:rFonts w:ascii="Verdana" w:hAnsi="Verdana" w:cs="Times New Roman"/>
                <w:sz w:val="20"/>
                <w:szCs w:val="20"/>
              </w:rPr>
            </w:pPr>
            <w:r w:rsidRPr="004C3644">
              <w:rPr>
                <w:rFonts w:ascii="Verdana" w:hAnsi="Verdana" w:cs="Times New Roman"/>
                <w:sz w:val="20"/>
                <w:szCs w:val="20"/>
              </w:rPr>
              <w:t>Foreign currency effect</w:t>
            </w:r>
          </w:p>
        </w:tc>
        <w:tc>
          <w:tcPr>
            <w:tcW w:w="1440" w:type="dxa"/>
          </w:tcPr>
          <w:p w:rsidR="005E3EB7" w:rsidRDefault="005E3EB7">
            <w:pPr>
              <w:jc w:val="right"/>
              <w:rPr>
                <w:rFonts w:ascii="Verdana" w:hAnsi="Verdana" w:cs="Courier New"/>
                <w:sz w:val="20"/>
                <w:szCs w:val="20"/>
              </w:rPr>
            </w:pPr>
            <w:r w:rsidRPr="004C3644">
              <w:rPr>
                <w:rFonts w:ascii="Verdana" w:hAnsi="Verdana" w:cs="Courier New"/>
                <w:sz w:val="20"/>
                <w:szCs w:val="20"/>
              </w:rPr>
              <w:t>300</w:t>
            </w:r>
          </w:p>
        </w:tc>
        <w:tc>
          <w:tcPr>
            <w:tcW w:w="1530" w:type="dxa"/>
          </w:tcPr>
          <w:p w:rsidR="005E3EB7" w:rsidRDefault="005E3EB7">
            <w:pPr>
              <w:jc w:val="right"/>
              <w:rPr>
                <w:rFonts w:ascii="Verdana" w:hAnsi="Verdana" w:cs="Courier New"/>
                <w:sz w:val="20"/>
                <w:szCs w:val="20"/>
              </w:rPr>
            </w:pPr>
          </w:p>
        </w:tc>
        <w:tc>
          <w:tcPr>
            <w:tcW w:w="1438" w:type="dxa"/>
          </w:tcPr>
          <w:p w:rsidR="005E3EB7" w:rsidRDefault="005E3EB7">
            <w:pPr>
              <w:jc w:val="right"/>
              <w:rPr>
                <w:rFonts w:ascii="Verdana" w:hAnsi="Verdana" w:cs="Courier New"/>
                <w:sz w:val="20"/>
                <w:szCs w:val="20"/>
              </w:rPr>
            </w:pPr>
            <w:r w:rsidRPr="004C3644">
              <w:rPr>
                <w:rFonts w:ascii="Verdana" w:hAnsi="Verdana" w:cs="Courier New"/>
                <w:sz w:val="20"/>
                <w:szCs w:val="20"/>
              </w:rPr>
              <w:t>300</w:t>
            </w:r>
          </w:p>
        </w:tc>
      </w:tr>
      <w:tr w:rsidR="005E3EB7" w:rsidRPr="00B32424" w:rsidTr="00B32424">
        <w:trPr>
          <w:jc w:val="center"/>
        </w:trPr>
        <w:tc>
          <w:tcPr>
            <w:tcW w:w="2705" w:type="dxa"/>
          </w:tcPr>
          <w:p w:rsidR="005E3EB7" w:rsidRPr="00FD7B36" w:rsidRDefault="005E3EB7" w:rsidP="0051695C">
            <w:pPr>
              <w:rPr>
                <w:rFonts w:ascii="Verdana" w:hAnsi="Verdana" w:cs="Times New Roman"/>
                <w:sz w:val="20"/>
                <w:szCs w:val="20"/>
              </w:rPr>
            </w:pPr>
            <w:r w:rsidRPr="004C3644">
              <w:rPr>
                <w:rFonts w:ascii="Verdana" w:hAnsi="Verdana" w:cs="Times New Roman"/>
                <w:sz w:val="20"/>
                <w:szCs w:val="20"/>
              </w:rPr>
              <w:t>Business combination effect</w:t>
            </w:r>
          </w:p>
        </w:tc>
        <w:tc>
          <w:tcPr>
            <w:tcW w:w="1440" w:type="dxa"/>
          </w:tcPr>
          <w:p w:rsidR="005E3EB7" w:rsidRPr="00B32424" w:rsidRDefault="00B32424">
            <w:pPr>
              <w:jc w:val="right"/>
              <w:rPr>
                <w:rFonts w:ascii="Verdana" w:hAnsi="Verdana" w:cs="Courier New"/>
                <w:sz w:val="20"/>
                <w:szCs w:val="20"/>
                <w:u w:val="single"/>
              </w:rPr>
            </w:pPr>
            <w:r>
              <w:rPr>
                <w:rFonts w:ascii="Verdana" w:hAnsi="Verdana" w:cs="Courier New"/>
                <w:sz w:val="20"/>
                <w:szCs w:val="20"/>
                <w:u w:val="single"/>
              </w:rPr>
              <w:t>0</w:t>
            </w:r>
          </w:p>
        </w:tc>
        <w:tc>
          <w:tcPr>
            <w:tcW w:w="1530" w:type="dxa"/>
          </w:tcPr>
          <w:p w:rsidR="005E3EB7" w:rsidRPr="00B32424" w:rsidRDefault="005E3EB7">
            <w:pPr>
              <w:jc w:val="right"/>
              <w:rPr>
                <w:rFonts w:ascii="Verdana" w:hAnsi="Verdana" w:cs="Courier New"/>
                <w:sz w:val="20"/>
                <w:szCs w:val="20"/>
                <w:u w:val="single"/>
              </w:rPr>
            </w:pPr>
            <w:r w:rsidRPr="00B32424">
              <w:rPr>
                <w:rFonts w:ascii="Verdana" w:hAnsi="Verdana" w:cs="Courier New"/>
                <w:sz w:val="20"/>
                <w:szCs w:val="20"/>
                <w:u w:val="single"/>
              </w:rPr>
              <w:t>(800)</w:t>
            </w:r>
          </w:p>
        </w:tc>
        <w:tc>
          <w:tcPr>
            <w:tcW w:w="1438" w:type="dxa"/>
          </w:tcPr>
          <w:p w:rsidR="005E3EB7" w:rsidRPr="00B32424" w:rsidRDefault="005E3EB7">
            <w:pPr>
              <w:jc w:val="right"/>
              <w:rPr>
                <w:rFonts w:ascii="Verdana" w:hAnsi="Verdana" w:cs="Courier New"/>
                <w:sz w:val="20"/>
                <w:szCs w:val="20"/>
                <w:u w:val="single"/>
              </w:rPr>
            </w:pPr>
            <w:r w:rsidRPr="00B32424">
              <w:rPr>
                <w:rFonts w:ascii="Verdana" w:hAnsi="Verdana" w:cs="Courier New"/>
                <w:sz w:val="20"/>
                <w:szCs w:val="20"/>
                <w:u w:val="single"/>
              </w:rPr>
              <w:t>800</w:t>
            </w:r>
          </w:p>
        </w:tc>
      </w:tr>
      <w:tr w:rsidR="005E3EB7" w:rsidRPr="00FD7B36" w:rsidTr="00B32424">
        <w:trPr>
          <w:jc w:val="center"/>
        </w:trPr>
        <w:tc>
          <w:tcPr>
            <w:tcW w:w="2705" w:type="dxa"/>
          </w:tcPr>
          <w:p w:rsidR="005E3EB7" w:rsidRPr="00FD7B36" w:rsidRDefault="005E3EB7" w:rsidP="0051695C">
            <w:pPr>
              <w:rPr>
                <w:rFonts w:ascii="Verdana" w:hAnsi="Verdana" w:cs="Times New Roman"/>
                <w:sz w:val="20"/>
                <w:szCs w:val="20"/>
              </w:rPr>
            </w:pPr>
          </w:p>
        </w:tc>
        <w:tc>
          <w:tcPr>
            <w:tcW w:w="1440" w:type="dxa"/>
          </w:tcPr>
          <w:p w:rsidR="005E3EB7" w:rsidRPr="0011126E" w:rsidRDefault="005E3EB7">
            <w:pPr>
              <w:jc w:val="right"/>
              <w:rPr>
                <w:rFonts w:ascii="Verdana" w:hAnsi="Verdana" w:cs="Courier New"/>
                <w:sz w:val="20"/>
                <w:szCs w:val="20"/>
                <w:u w:val="double"/>
              </w:rPr>
            </w:pPr>
            <w:r w:rsidRPr="0011126E">
              <w:rPr>
                <w:rFonts w:ascii="Verdana" w:hAnsi="Verdana" w:cs="Courier New"/>
                <w:sz w:val="20"/>
                <w:szCs w:val="20"/>
                <w:u w:val="double"/>
              </w:rPr>
              <w:t>59,800</w:t>
            </w:r>
          </w:p>
        </w:tc>
        <w:tc>
          <w:tcPr>
            <w:tcW w:w="1530" w:type="dxa"/>
          </w:tcPr>
          <w:p w:rsidR="005E3EB7" w:rsidRPr="0011126E" w:rsidRDefault="005E3EB7">
            <w:pPr>
              <w:jc w:val="right"/>
              <w:rPr>
                <w:rFonts w:ascii="Verdana" w:hAnsi="Verdana" w:cs="Courier New"/>
                <w:sz w:val="20"/>
                <w:szCs w:val="20"/>
                <w:u w:val="double"/>
              </w:rPr>
            </w:pPr>
            <w:r w:rsidRPr="0011126E">
              <w:rPr>
                <w:rFonts w:ascii="Verdana" w:hAnsi="Verdana" w:cs="Courier New"/>
                <w:sz w:val="20"/>
                <w:szCs w:val="20"/>
                <w:u w:val="double"/>
              </w:rPr>
              <w:t>57,300</w:t>
            </w:r>
          </w:p>
        </w:tc>
        <w:tc>
          <w:tcPr>
            <w:tcW w:w="1438" w:type="dxa"/>
          </w:tcPr>
          <w:p w:rsidR="005E3EB7" w:rsidRDefault="005E3EB7">
            <w:pPr>
              <w:jc w:val="right"/>
              <w:rPr>
                <w:rFonts w:ascii="Verdana" w:hAnsi="Verdana" w:cs="Courier New"/>
                <w:sz w:val="20"/>
                <w:szCs w:val="20"/>
              </w:rPr>
            </w:pPr>
            <w:r w:rsidRPr="004C3644">
              <w:rPr>
                <w:rFonts w:ascii="Verdana" w:hAnsi="Verdana" w:cs="Courier New"/>
                <w:sz w:val="20"/>
                <w:szCs w:val="20"/>
              </w:rPr>
              <w:t>2,500</w:t>
            </w:r>
          </w:p>
        </w:tc>
      </w:tr>
      <w:tr w:rsidR="005E3EB7" w:rsidRPr="00FD7B36" w:rsidTr="00B32424">
        <w:trPr>
          <w:jc w:val="center"/>
        </w:trPr>
        <w:tc>
          <w:tcPr>
            <w:tcW w:w="2705" w:type="dxa"/>
          </w:tcPr>
          <w:p w:rsidR="005E3EB7" w:rsidRPr="00FD7B36" w:rsidRDefault="005E3EB7" w:rsidP="0051695C">
            <w:pPr>
              <w:rPr>
                <w:rFonts w:ascii="Verdana" w:hAnsi="Verdana" w:cs="Times New Roman"/>
                <w:sz w:val="20"/>
                <w:szCs w:val="20"/>
              </w:rPr>
            </w:pPr>
            <w:r w:rsidRPr="004C3644">
              <w:rPr>
                <w:rFonts w:ascii="Verdana" w:hAnsi="Verdana" w:cs="Times New Roman"/>
                <w:sz w:val="20"/>
                <w:szCs w:val="20"/>
              </w:rPr>
              <w:lastRenderedPageBreak/>
              <w:t>Beginning balance</w:t>
            </w:r>
          </w:p>
        </w:tc>
        <w:tc>
          <w:tcPr>
            <w:tcW w:w="1440" w:type="dxa"/>
          </w:tcPr>
          <w:p w:rsidR="005E3EB7" w:rsidRDefault="005E3EB7">
            <w:pPr>
              <w:jc w:val="right"/>
              <w:rPr>
                <w:rFonts w:ascii="Verdana" w:hAnsi="Verdana" w:cs="Courier New"/>
                <w:sz w:val="20"/>
                <w:szCs w:val="20"/>
              </w:rPr>
            </w:pPr>
          </w:p>
        </w:tc>
        <w:tc>
          <w:tcPr>
            <w:tcW w:w="1530" w:type="dxa"/>
          </w:tcPr>
          <w:p w:rsidR="005E3EB7" w:rsidRDefault="005E3EB7">
            <w:pPr>
              <w:jc w:val="right"/>
              <w:rPr>
                <w:rFonts w:ascii="Verdana" w:hAnsi="Verdana" w:cs="Courier New"/>
                <w:sz w:val="20"/>
                <w:szCs w:val="20"/>
              </w:rPr>
            </w:pPr>
          </w:p>
        </w:tc>
        <w:tc>
          <w:tcPr>
            <w:tcW w:w="1438" w:type="dxa"/>
          </w:tcPr>
          <w:p w:rsidR="005E3EB7" w:rsidRPr="0011126E" w:rsidRDefault="005E3EB7">
            <w:pPr>
              <w:jc w:val="right"/>
              <w:rPr>
                <w:rFonts w:ascii="Verdana" w:hAnsi="Verdana" w:cs="Courier New"/>
                <w:sz w:val="20"/>
                <w:szCs w:val="20"/>
                <w:u w:val="single"/>
              </w:rPr>
            </w:pPr>
            <w:r w:rsidRPr="0011126E">
              <w:rPr>
                <w:rFonts w:ascii="Verdana" w:hAnsi="Verdana" w:cs="Courier New"/>
                <w:sz w:val="20"/>
                <w:szCs w:val="20"/>
                <w:u w:val="single"/>
              </w:rPr>
              <w:t>1,000</w:t>
            </w:r>
          </w:p>
        </w:tc>
      </w:tr>
      <w:tr w:rsidR="005E3EB7" w:rsidRPr="00FD7B36" w:rsidTr="00B32424">
        <w:trPr>
          <w:jc w:val="center"/>
        </w:trPr>
        <w:tc>
          <w:tcPr>
            <w:tcW w:w="2705" w:type="dxa"/>
          </w:tcPr>
          <w:p w:rsidR="005E3EB7" w:rsidRPr="00FD7B36" w:rsidRDefault="005E3EB7" w:rsidP="0051695C">
            <w:pPr>
              <w:rPr>
                <w:rFonts w:ascii="Verdana" w:hAnsi="Verdana" w:cs="Times New Roman"/>
                <w:sz w:val="20"/>
                <w:szCs w:val="20"/>
              </w:rPr>
            </w:pPr>
            <w:r w:rsidRPr="004C3644">
              <w:rPr>
                <w:rFonts w:ascii="Verdana" w:hAnsi="Verdana" w:cs="Times New Roman"/>
                <w:sz w:val="20"/>
                <w:szCs w:val="20"/>
              </w:rPr>
              <w:t>Ending balance</w:t>
            </w:r>
          </w:p>
        </w:tc>
        <w:tc>
          <w:tcPr>
            <w:tcW w:w="1440" w:type="dxa"/>
          </w:tcPr>
          <w:p w:rsidR="005E3EB7" w:rsidRDefault="005E3EB7">
            <w:pPr>
              <w:jc w:val="right"/>
              <w:rPr>
                <w:rFonts w:ascii="Verdana" w:hAnsi="Verdana" w:cs="Courier New"/>
                <w:sz w:val="20"/>
                <w:szCs w:val="20"/>
              </w:rPr>
            </w:pPr>
          </w:p>
        </w:tc>
        <w:tc>
          <w:tcPr>
            <w:tcW w:w="1530" w:type="dxa"/>
          </w:tcPr>
          <w:p w:rsidR="005E3EB7" w:rsidRDefault="005E3EB7">
            <w:pPr>
              <w:jc w:val="right"/>
              <w:rPr>
                <w:rFonts w:ascii="Verdana" w:hAnsi="Verdana" w:cs="Courier New"/>
                <w:sz w:val="20"/>
                <w:szCs w:val="20"/>
              </w:rPr>
            </w:pPr>
          </w:p>
        </w:tc>
        <w:tc>
          <w:tcPr>
            <w:tcW w:w="1438" w:type="dxa"/>
          </w:tcPr>
          <w:p w:rsidR="005E3EB7" w:rsidRDefault="005E3EB7">
            <w:pPr>
              <w:jc w:val="right"/>
              <w:rPr>
                <w:rFonts w:ascii="Verdana" w:hAnsi="Verdana" w:cs="Courier New"/>
                <w:sz w:val="20"/>
                <w:szCs w:val="20"/>
                <w:u w:val="double"/>
              </w:rPr>
            </w:pPr>
            <w:r w:rsidRPr="004C3644">
              <w:rPr>
                <w:rFonts w:ascii="Verdana" w:hAnsi="Verdana" w:cs="Courier New"/>
                <w:sz w:val="20"/>
                <w:szCs w:val="20"/>
                <w:u w:val="double"/>
              </w:rPr>
              <w:t>3,500</w:t>
            </w:r>
          </w:p>
        </w:tc>
      </w:tr>
    </w:tbl>
    <w:p w:rsidR="00B32424" w:rsidRDefault="00B32424" w:rsidP="0051695C">
      <w:pPr>
        <w:rPr>
          <w:rFonts w:ascii="Verdana" w:hAnsi="Verdana" w:cs="Arial"/>
          <w:sz w:val="24"/>
          <w:szCs w:val="24"/>
        </w:rPr>
      </w:pPr>
    </w:p>
    <w:p w:rsidR="00B32424" w:rsidRDefault="00B32424" w:rsidP="0051695C">
      <w:pPr>
        <w:rPr>
          <w:rFonts w:ascii="Verdana" w:hAnsi="Verdana" w:cs="Arial"/>
          <w:sz w:val="24"/>
          <w:szCs w:val="24"/>
        </w:rPr>
      </w:pPr>
    </w:p>
    <w:p w:rsidR="00F0433A" w:rsidRDefault="00EC3AA4" w:rsidP="0051695C">
      <w:pPr>
        <w:rPr>
          <w:rFonts w:ascii="Verdana" w:hAnsi="Verdana" w:cs="Arial"/>
          <w:sz w:val="24"/>
          <w:szCs w:val="24"/>
        </w:rPr>
      </w:pPr>
      <w:r w:rsidRPr="000D14F7">
        <w:rPr>
          <w:rFonts w:ascii="Verdana" w:hAnsi="Verdana" w:cs="Arial"/>
          <w:sz w:val="24"/>
          <w:szCs w:val="24"/>
        </w:rPr>
        <w:t>Well, that’s it for now from the land of accounting geezerdom.  If you agree, please spam the FASB with your concurrence</w:t>
      </w:r>
      <w:r w:rsidR="00AF13C7" w:rsidRPr="000D14F7">
        <w:rPr>
          <w:rFonts w:ascii="Verdana" w:hAnsi="Verdana" w:cs="Arial"/>
          <w:sz w:val="24"/>
          <w:szCs w:val="24"/>
        </w:rPr>
        <w:t>, and own insightful comments</w:t>
      </w:r>
      <w:r w:rsidRPr="000D14F7">
        <w:rPr>
          <w:rFonts w:ascii="Verdana" w:hAnsi="Verdana" w:cs="Arial"/>
          <w:sz w:val="24"/>
          <w:szCs w:val="24"/>
        </w:rPr>
        <w:t>.  After all, the FASB definitely needs our help when it comes to promoting transparency and encouraging</w:t>
      </w:r>
      <w:r w:rsidR="00B94CDA" w:rsidRPr="000D14F7">
        <w:rPr>
          <w:rFonts w:ascii="Verdana" w:hAnsi="Verdana" w:cs="Arial"/>
          <w:sz w:val="24"/>
          <w:szCs w:val="24"/>
        </w:rPr>
        <w:t xml:space="preserve"> confidence in the quality of reported amounts.</w:t>
      </w:r>
      <w:r w:rsidRPr="000D14F7">
        <w:rPr>
          <w:rFonts w:ascii="Verdana" w:hAnsi="Verdana" w:cs="Arial"/>
          <w:sz w:val="24"/>
          <w:szCs w:val="24"/>
        </w:rPr>
        <w:t xml:space="preserve">  Without us, it will likely just be more of the same…</w:t>
      </w:r>
      <w:r w:rsidR="00AF13C7" w:rsidRPr="000D14F7">
        <w:rPr>
          <w:rFonts w:ascii="Verdana" w:hAnsi="Verdana" w:cs="Arial"/>
          <w:sz w:val="24"/>
          <w:szCs w:val="24"/>
        </w:rPr>
        <w:t>unreadable blah, ba blah, ba blah!</w:t>
      </w:r>
    </w:p>
    <w:p w:rsidR="00420E9C" w:rsidRDefault="00420E9C" w:rsidP="0051695C">
      <w:pPr>
        <w:rPr>
          <w:rFonts w:ascii="Verdana" w:hAnsi="Verdana" w:cs="Arial"/>
          <w:sz w:val="24"/>
          <w:szCs w:val="24"/>
        </w:rPr>
      </w:pPr>
    </w:p>
    <w:p w:rsidR="00420E9C" w:rsidRPr="000D14F7" w:rsidRDefault="00420E9C" w:rsidP="0051695C">
      <w:pPr>
        <w:rPr>
          <w:rFonts w:ascii="Verdana" w:hAnsi="Verdana" w:cs="Arial"/>
          <w:sz w:val="24"/>
          <w:szCs w:val="24"/>
        </w:rPr>
      </w:pPr>
    </w:p>
    <w:p w:rsidR="0050716A" w:rsidRPr="000D14F7"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EFE" w:rsidRDefault="00FE4EFE" w:rsidP="007B5AA6">
      <w:r>
        <w:separator/>
      </w:r>
    </w:p>
  </w:endnote>
  <w:endnote w:type="continuationSeparator" w:id="0">
    <w:p w:rsidR="00FE4EFE" w:rsidRDefault="00FE4EFE" w:rsidP="007B5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EFE" w:rsidRDefault="00FE4EFE" w:rsidP="007B5AA6">
      <w:r>
        <w:separator/>
      </w:r>
    </w:p>
  </w:footnote>
  <w:footnote w:type="continuationSeparator" w:id="0">
    <w:p w:rsidR="00FE4EFE" w:rsidRDefault="00FE4EFE" w:rsidP="007B5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E139E"/>
    <w:multiLevelType w:val="hybridMultilevel"/>
    <w:tmpl w:val="5A2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B5B78"/>
    <w:multiLevelType w:val="hybridMultilevel"/>
    <w:tmpl w:val="B9AC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31295"/>
    <w:multiLevelType w:val="hybridMultilevel"/>
    <w:tmpl w:val="25D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C0812"/>
    <w:multiLevelType w:val="hybridMultilevel"/>
    <w:tmpl w:val="1E74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0E0275"/>
    <w:multiLevelType w:val="hybridMultilevel"/>
    <w:tmpl w:val="FDA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8E7D7B"/>
    <w:multiLevelType w:val="hybridMultilevel"/>
    <w:tmpl w:val="363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27359"/>
    <w:multiLevelType w:val="hybridMultilevel"/>
    <w:tmpl w:val="C664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97FA2"/>
    <w:multiLevelType w:val="hybridMultilevel"/>
    <w:tmpl w:val="809C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2"/>
  </w:num>
  <w:num w:numId="4">
    <w:abstractNumId w:val="0"/>
  </w:num>
  <w:num w:numId="5">
    <w:abstractNumId w:val="21"/>
  </w:num>
  <w:num w:numId="6">
    <w:abstractNumId w:val="12"/>
  </w:num>
  <w:num w:numId="7">
    <w:abstractNumId w:val="13"/>
  </w:num>
  <w:num w:numId="8">
    <w:abstractNumId w:val="8"/>
  </w:num>
  <w:num w:numId="9">
    <w:abstractNumId w:val="18"/>
  </w:num>
  <w:num w:numId="10">
    <w:abstractNumId w:val="1"/>
  </w:num>
  <w:num w:numId="11">
    <w:abstractNumId w:val="17"/>
  </w:num>
  <w:num w:numId="12">
    <w:abstractNumId w:val="20"/>
  </w:num>
  <w:num w:numId="13">
    <w:abstractNumId w:val="14"/>
  </w:num>
  <w:num w:numId="14">
    <w:abstractNumId w:val="19"/>
  </w:num>
  <w:num w:numId="15">
    <w:abstractNumId w:val="5"/>
  </w:num>
  <w:num w:numId="16">
    <w:abstractNumId w:val="25"/>
  </w:num>
  <w:num w:numId="17">
    <w:abstractNumId w:val="10"/>
  </w:num>
  <w:num w:numId="18">
    <w:abstractNumId w:val="7"/>
  </w:num>
  <w:num w:numId="19">
    <w:abstractNumId w:val="6"/>
  </w:num>
  <w:num w:numId="20">
    <w:abstractNumId w:val="9"/>
  </w:num>
  <w:num w:numId="21">
    <w:abstractNumId w:val="3"/>
  </w:num>
  <w:num w:numId="22">
    <w:abstractNumId w:val="22"/>
  </w:num>
  <w:num w:numId="23">
    <w:abstractNumId w:val="24"/>
  </w:num>
  <w:num w:numId="24">
    <w:abstractNumId w:val="15"/>
  </w:num>
  <w:num w:numId="25">
    <w:abstractNumId w:val="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3A627B"/>
    <w:rsid w:val="00002964"/>
    <w:rsid w:val="0000345B"/>
    <w:rsid w:val="000036B6"/>
    <w:rsid w:val="00007C02"/>
    <w:rsid w:val="0001223C"/>
    <w:rsid w:val="00013A1E"/>
    <w:rsid w:val="00014F46"/>
    <w:rsid w:val="00020F06"/>
    <w:rsid w:val="0002188E"/>
    <w:rsid w:val="00032D82"/>
    <w:rsid w:val="000334D4"/>
    <w:rsid w:val="000374C2"/>
    <w:rsid w:val="000437E8"/>
    <w:rsid w:val="00051DC2"/>
    <w:rsid w:val="00052C5C"/>
    <w:rsid w:val="000672D7"/>
    <w:rsid w:val="00067E9B"/>
    <w:rsid w:val="00070A9F"/>
    <w:rsid w:val="00075F3F"/>
    <w:rsid w:val="00076894"/>
    <w:rsid w:val="00081916"/>
    <w:rsid w:val="00082B02"/>
    <w:rsid w:val="0008518C"/>
    <w:rsid w:val="00086480"/>
    <w:rsid w:val="00093316"/>
    <w:rsid w:val="000A3CC5"/>
    <w:rsid w:val="000A52AA"/>
    <w:rsid w:val="000A68B5"/>
    <w:rsid w:val="000B0974"/>
    <w:rsid w:val="000C0DAE"/>
    <w:rsid w:val="000C4198"/>
    <w:rsid w:val="000C55EE"/>
    <w:rsid w:val="000C6302"/>
    <w:rsid w:val="000C669E"/>
    <w:rsid w:val="000D14F7"/>
    <w:rsid w:val="000D228C"/>
    <w:rsid w:val="000D246D"/>
    <w:rsid w:val="000E18E5"/>
    <w:rsid w:val="000E2E4F"/>
    <w:rsid w:val="000F0901"/>
    <w:rsid w:val="000F2233"/>
    <w:rsid w:val="000F2DC8"/>
    <w:rsid w:val="000F42DF"/>
    <w:rsid w:val="00103442"/>
    <w:rsid w:val="0011126E"/>
    <w:rsid w:val="00112A54"/>
    <w:rsid w:val="00124D4C"/>
    <w:rsid w:val="00127FD3"/>
    <w:rsid w:val="00142AA4"/>
    <w:rsid w:val="00143C09"/>
    <w:rsid w:val="0014413D"/>
    <w:rsid w:val="001607A3"/>
    <w:rsid w:val="00161E0F"/>
    <w:rsid w:val="00162F11"/>
    <w:rsid w:val="00165215"/>
    <w:rsid w:val="00166500"/>
    <w:rsid w:val="0016737C"/>
    <w:rsid w:val="001823C4"/>
    <w:rsid w:val="00183076"/>
    <w:rsid w:val="00190FBB"/>
    <w:rsid w:val="00192D00"/>
    <w:rsid w:val="00196DE5"/>
    <w:rsid w:val="001978FB"/>
    <w:rsid w:val="001A1791"/>
    <w:rsid w:val="001A35D6"/>
    <w:rsid w:val="001A4C91"/>
    <w:rsid w:val="001A523B"/>
    <w:rsid w:val="001A5685"/>
    <w:rsid w:val="001A63DD"/>
    <w:rsid w:val="001B2AE8"/>
    <w:rsid w:val="001B3448"/>
    <w:rsid w:val="001B54FF"/>
    <w:rsid w:val="001C098E"/>
    <w:rsid w:val="001C3948"/>
    <w:rsid w:val="001C497A"/>
    <w:rsid w:val="001C5C9F"/>
    <w:rsid w:val="001C7FFA"/>
    <w:rsid w:val="001D7AC4"/>
    <w:rsid w:val="001F1E90"/>
    <w:rsid w:val="0020134E"/>
    <w:rsid w:val="0020293D"/>
    <w:rsid w:val="00210C7A"/>
    <w:rsid w:val="002134E1"/>
    <w:rsid w:val="00215FD8"/>
    <w:rsid w:val="00217C3B"/>
    <w:rsid w:val="00223620"/>
    <w:rsid w:val="002254DA"/>
    <w:rsid w:val="002348DA"/>
    <w:rsid w:val="00264576"/>
    <w:rsid w:val="00265925"/>
    <w:rsid w:val="00285D9E"/>
    <w:rsid w:val="002921E3"/>
    <w:rsid w:val="00292D3C"/>
    <w:rsid w:val="002954BA"/>
    <w:rsid w:val="00297DE7"/>
    <w:rsid w:val="002A35CE"/>
    <w:rsid w:val="002B0A9D"/>
    <w:rsid w:val="002B29A5"/>
    <w:rsid w:val="002C3CF3"/>
    <w:rsid w:val="002C3E0F"/>
    <w:rsid w:val="002C4F22"/>
    <w:rsid w:val="002D164E"/>
    <w:rsid w:val="002E1983"/>
    <w:rsid w:val="002F12BA"/>
    <w:rsid w:val="002F1C18"/>
    <w:rsid w:val="002F262A"/>
    <w:rsid w:val="002F3E6F"/>
    <w:rsid w:val="003022BC"/>
    <w:rsid w:val="00304385"/>
    <w:rsid w:val="00307529"/>
    <w:rsid w:val="0031191B"/>
    <w:rsid w:val="00315910"/>
    <w:rsid w:val="00316083"/>
    <w:rsid w:val="00316C9F"/>
    <w:rsid w:val="003259CE"/>
    <w:rsid w:val="00327520"/>
    <w:rsid w:val="0032760C"/>
    <w:rsid w:val="00332261"/>
    <w:rsid w:val="00354144"/>
    <w:rsid w:val="00360613"/>
    <w:rsid w:val="0036142D"/>
    <w:rsid w:val="003614EA"/>
    <w:rsid w:val="003617B7"/>
    <w:rsid w:val="00361AB2"/>
    <w:rsid w:val="00362844"/>
    <w:rsid w:val="00362935"/>
    <w:rsid w:val="00362D5A"/>
    <w:rsid w:val="00383C6D"/>
    <w:rsid w:val="00383ECD"/>
    <w:rsid w:val="003866D9"/>
    <w:rsid w:val="0038706A"/>
    <w:rsid w:val="00387AD3"/>
    <w:rsid w:val="0039366C"/>
    <w:rsid w:val="00394F33"/>
    <w:rsid w:val="00395638"/>
    <w:rsid w:val="003A0BFC"/>
    <w:rsid w:val="003A627B"/>
    <w:rsid w:val="003B5481"/>
    <w:rsid w:val="003C2F39"/>
    <w:rsid w:val="003C370E"/>
    <w:rsid w:val="003D4590"/>
    <w:rsid w:val="003D52F2"/>
    <w:rsid w:val="003D7633"/>
    <w:rsid w:val="003E092D"/>
    <w:rsid w:val="003E2195"/>
    <w:rsid w:val="003F2470"/>
    <w:rsid w:val="003F2F38"/>
    <w:rsid w:val="003F6FEC"/>
    <w:rsid w:val="00400752"/>
    <w:rsid w:val="00404567"/>
    <w:rsid w:val="00404D1A"/>
    <w:rsid w:val="00407EDD"/>
    <w:rsid w:val="00407FE7"/>
    <w:rsid w:val="00412EF3"/>
    <w:rsid w:val="00420E9C"/>
    <w:rsid w:val="00422907"/>
    <w:rsid w:val="00423830"/>
    <w:rsid w:val="004238E6"/>
    <w:rsid w:val="00427B52"/>
    <w:rsid w:val="00430CC2"/>
    <w:rsid w:val="00434BB2"/>
    <w:rsid w:val="00435AB9"/>
    <w:rsid w:val="0043674F"/>
    <w:rsid w:val="00441449"/>
    <w:rsid w:val="00443813"/>
    <w:rsid w:val="004477D9"/>
    <w:rsid w:val="00450E44"/>
    <w:rsid w:val="00452131"/>
    <w:rsid w:val="004534FA"/>
    <w:rsid w:val="00455A99"/>
    <w:rsid w:val="004562E4"/>
    <w:rsid w:val="00460BD2"/>
    <w:rsid w:val="00465E6E"/>
    <w:rsid w:val="00466069"/>
    <w:rsid w:val="00470E6A"/>
    <w:rsid w:val="00471A13"/>
    <w:rsid w:val="0048360C"/>
    <w:rsid w:val="00490BFE"/>
    <w:rsid w:val="00490DAC"/>
    <w:rsid w:val="00491723"/>
    <w:rsid w:val="00493F2B"/>
    <w:rsid w:val="00495332"/>
    <w:rsid w:val="004A745F"/>
    <w:rsid w:val="004B03F1"/>
    <w:rsid w:val="004B537D"/>
    <w:rsid w:val="004B57C9"/>
    <w:rsid w:val="004B6B8E"/>
    <w:rsid w:val="004C2459"/>
    <w:rsid w:val="004C3644"/>
    <w:rsid w:val="004D04CE"/>
    <w:rsid w:val="004D23A9"/>
    <w:rsid w:val="004D3E1B"/>
    <w:rsid w:val="004D42A8"/>
    <w:rsid w:val="004D6BFC"/>
    <w:rsid w:val="004E0A6F"/>
    <w:rsid w:val="004E7997"/>
    <w:rsid w:val="004E7B9C"/>
    <w:rsid w:val="004F1C35"/>
    <w:rsid w:val="004F264C"/>
    <w:rsid w:val="004F5EB2"/>
    <w:rsid w:val="004F7F63"/>
    <w:rsid w:val="00500864"/>
    <w:rsid w:val="00500995"/>
    <w:rsid w:val="005021AE"/>
    <w:rsid w:val="005057B7"/>
    <w:rsid w:val="0050716A"/>
    <w:rsid w:val="00507677"/>
    <w:rsid w:val="00510101"/>
    <w:rsid w:val="0051695C"/>
    <w:rsid w:val="005174B2"/>
    <w:rsid w:val="00520260"/>
    <w:rsid w:val="00520832"/>
    <w:rsid w:val="005220DF"/>
    <w:rsid w:val="00533664"/>
    <w:rsid w:val="00534915"/>
    <w:rsid w:val="005373CC"/>
    <w:rsid w:val="005427BB"/>
    <w:rsid w:val="00542A32"/>
    <w:rsid w:val="00546C8A"/>
    <w:rsid w:val="00547265"/>
    <w:rsid w:val="00566ACC"/>
    <w:rsid w:val="005679C2"/>
    <w:rsid w:val="00572989"/>
    <w:rsid w:val="0057420F"/>
    <w:rsid w:val="0058071A"/>
    <w:rsid w:val="00584522"/>
    <w:rsid w:val="00586FFE"/>
    <w:rsid w:val="005877D3"/>
    <w:rsid w:val="00591E9C"/>
    <w:rsid w:val="005B3AFB"/>
    <w:rsid w:val="005B6B3D"/>
    <w:rsid w:val="005B7BA1"/>
    <w:rsid w:val="005C0883"/>
    <w:rsid w:val="005C5AA8"/>
    <w:rsid w:val="005C5E2B"/>
    <w:rsid w:val="005C719F"/>
    <w:rsid w:val="005C7FC3"/>
    <w:rsid w:val="005D3219"/>
    <w:rsid w:val="005D548A"/>
    <w:rsid w:val="005E3EB7"/>
    <w:rsid w:val="005E40D4"/>
    <w:rsid w:val="005F04A2"/>
    <w:rsid w:val="005F2D0B"/>
    <w:rsid w:val="005F5040"/>
    <w:rsid w:val="006012E0"/>
    <w:rsid w:val="006062C5"/>
    <w:rsid w:val="00611266"/>
    <w:rsid w:val="0061533A"/>
    <w:rsid w:val="006255D9"/>
    <w:rsid w:val="00626CA8"/>
    <w:rsid w:val="00630849"/>
    <w:rsid w:val="00630BC8"/>
    <w:rsid w:val="00633A33"/>
    <w:rsid w:val="00636320"/>
    <w:rsid w:val="006369C4"/>
    <w:rsid w:val="0064033C"/>
    <w:rsid w:val="00643303"/>
    <w:rsid w:val="0064394F"/>
    <w:rsid w:val="006442AE"/>
    <w:rsid w:val="006443D4"/>
    <w:rsid w:val="006461D5"/>
    <w:rsid w:val="00654AEE"/>
    <w:rsid w:val="00656161"/>
    <w:rsid w:val="00664A0B"/>
    <w:rsid w:val="00667F72"/>
    <w:rsid w:val="00671A41"/>
    <w:rsid w:val="00671DE9"/>
    <w:rsid w:val="006772D0"/>
    <w:rsid w:val="00680C26"/>
    <w:rsid w:val="00681673"/>
    <w:rsid w:val="00695771"/>
    <w:rsid w:val="00697578"/>
    <w:rsid w:val="006A2E31"/>
    <w:rsid w:val="006A7CF1"/>
    <w:rsid w:val="006B5167"/>
    <w:rsid w:val="006B7A87"/>
    <w:rsid w:val="006D40B4"/>
    <w:rsid w:val="006E7490"/>
    <w:rsid w:val="006F298B"/>
    <w:rsid w:val="006F39ED"/>
    <w:rsid w:val="00701811"/>
    <w:rsid w:val="0070258E"/>
    <w:rsid w:val="00703C3D"/>
    <w:rsid w:val="007069CC"/>
    <w:rsid w:val="00710400"/>
    <w:rsid w:val="00714FEC"/>
    <w:rsid w:val="00716893"/>
    <w:rsid w:val="0072083E"/>
    <w:rsid w:val="00721ED9"/>
    <w:rsid w:val="0072401C"/>
    <w:rsid w:val="007240D6"/>
    <w:rsid w:val="007310E9"/>
    <w:rsid w:val="00732233"/>
    <w:rsid w:val="00732A73"/>
    <w:rsid w:val="00741CC4"/>
    <w:rsid w:val="00741CE7"/>
    <w:rsid w:val="00744BA9"/>
    <w:rsid w:val="00747520"/>
    <w:rsid w:val="00753045"/>
    <w:rsid w:val="00754C4A"/>
    <w:rsid w:val="0075714F"/>
    <w:rsid w:val="0076155A"/>
    <w:rsid w:val="00762F72"/>
    <w:rsid w:val="007635B3"/>
    <w:rsid w:val="00763D47"/>
    <w:rsid w:val="00767EDC"/>
    <w:rsid w:val="007836DF"/>
    <w:rsid w:val="00785611"/>
    <w:rsid w:val="007935E9"/>
    <w:rsid w:val="00793829"/>
    <w:rsid w:val="00795EDC"/>
    <w:rsid w:val="007A54C7"/>
    <w:rsid w:val="007A67D0"/>
    <w:rsid w:val="007A74AF"/>
    <w:rsid w:val="007B510D"/>
    <w:rsid w:val="007B5AA6"/>
    <w:rsid w:val="007C0F93"/>
    <w:rsid w:val="007C2521"/>
    <w:rsid w:val="007D1C85"/>
    <w:rsid w:val="007D30EB"/>
    <w:rsid w:val="007D7854"/>
    <w:rsid w:val="007E0EB8"/>
    <w:rsid w:val="007E274D"/>
    <w:rsid w:val="007E3232"/>
    <w:rsid w:val="007E34E6"/>
    <w:rsid w:val="007E4E7D"/>
    <w:rsid w:val="007E5690"/>
    <w:rsid w:val="007E7891"/>
    <w:rsid w:val="007E7DA2"/>
    <w:rsid w:val="007F0D3E"/>
    <w:rsid w:val="007F1AF6"/>
    <w:rsid w:val="007F736D"/>
    <w:rsid w:val="00800C88"/>
    <w:rsid w:val="0082077B"/>
    <w:rsid w:val="00823AFE"/>
    <w:rsid w:val="00825D4D"/>
    <w:rsid w:val="00826541"/>
    <w:rsid w:val="008265E1"/>
    <w:rsid w:val="00830910"/>
    <w:rsid w:val="00830A0B"/>
    <w:rsid w:val="00834103"/>
    <w:rsid w:val="008363B9"/>
    <w:rsid w:val="00841389"/>
    <w:rsid w:val="00847F54"/>
    <w:rsid w:val="00861134"/>
    <w:rsid w:val="00863F6E"/>
    <w:rsid w:val="008671AB"/>
    <w:rsid w:val="00872289"/>
    <w:rsid w:val="00874083"/>
    <w:rsid w:val="008757FF"/>
    <w:rsid w:val="00876D08"/>
    <w:rsid w:val="00876D95"/>
    <w:rsid w:val="0088295A"/>
    <w:rsid w:val="00885921"/>
    <w:rsid w:val="00890771"/>
    <w:rsid w:val="0089187B"/>
    <w:rsid w:val="0089296C"/>
    <w:rsid w:val="00894C28"/>
    <w:rsid w:val="008A2560"/>
    <w:rsid w:val="008B5E1A"/>
    <w:rsid w:val="008C256F"/>
    <w:rsid w:val="008C691D"/>
    <w:rsid w:val="008D2071"/>
    <w:rsid w:val="008D5DE7"/>
    <w:rsid w:val="008D7723"/>
    <w:rsid w:val="008D7880"/>
    <w:rsid w:val="008E0442"/>
    <w:rsid w:val="008E6D9D"/>
    <w:rsid w:val="008F04C5"/>
    <w:rsid w:val="009017B5"/>
    <w:rsid w:val="00907BCA"/>
    <w:rsid w:val="00914576"/>
    <w:rsid w:val="00927AEB"/>
    <w:rsid w:val="00930C78"/>
    <w:rsid w:val="009363F6"/>
    <w:rsid w:val="00940AD0"/>
    <w:rsid w:val="00944985"/>
    <w:rsid w:val="00951CDF"/>
    <w:rsid w:val="00952126"/>
    <w:rsid w:val="00952D24"/>
    <w:rsid w:val="009552D6"/>
    <w:rsid w:val="00974768"/>
    <w:rsid w:val="00975403"/>
    <w:rsid w:val="00981430"/>
    <w:rsid w:val="00981A0E"/>
    <w:rsid w:val="00984F2A"/>
    <w:rsid w:val="009A0991"/>
    <w:rsid w:val="009A0F6E"/>
    <w:rsid w:val="009A26FD"/>
    <w:rsid w:val="009A2816"/>
    <w:rsid w:val="009A40B3"/>
    <w:rsid w:val="009A41EE"/>
    <w:rsid w:val="009A43AF"/>
    <w:rsid w:val="009A6D9B"/>
    <w:rsid w:val="009A708E"/>
    <w:rsid w:val="009B013C"/>
    <w:rsid w:val="009B1A90"/>
    <w:rsid w:val="009C0B50"/>
    <w:rsid w:val="009D3CF4"/>
    <w:rsid w:val="009D772A"/>
    <w:rsid w:val="009E3B72"/>
    <w:rsid w:val="009F0A97"/>
    <w:rsid w:val="00A0252E"/>
    <w:rsid w:val="00A02E34"/>
    <w:rsid w:val="00A03ADF"/>
    <w:rsid w:val="00A06B5A"/>
    <w:rsid w:val="00A11437"/>
    <w:rsid w:val="00A1143D"/>
    <w:rsid w:val="00A11FD2"/>
    <w:rsid w:val="00A12949"/>
    <w:rsid w:val="00A14E6E"/>
    <w:rsid w:val="00A20F6C"/>
    <w:rsid w:val="00A22AC5"/>
    <w:rsid w:val="00A2604A"/>
    <w:rsid w:val="00A33470"/>
    <w:rsid w:val="00A3462B"/>
    <w:rsid w:val="00A35333"/>
    <w:rsid w:val="00A43460"/>
    <w:rsid w:val="00A44661"/>
    <w:rsid w:val="00A501CA"/>
    <w:rsid w:val="00A56122"/>
    <w:rsid w:val="00A623DC"/>
    <w:rsid w:val="00A64206"/>
    <w:rsid w:val="00A72FDC"/>
    <w:rsid w:val="00A74DDB"/>
    <w:rsid w:val="00A759EC"/>
    <w:rsid w:val="00A9283B"/>
    <w:rsid w:val="00A94ED1"/>
    <w:rsid w:val="00AA3C42"/>
    <w:rsid w:val="00AA78B1"/>
    <w:rsid w:val="00AB5DEF"/>
    <w:rsid w:val="00AC0275"/>
    <w:rsid w:val="00AC081E"/>
    <w:rsid w:val="00AC5F06"/>
    <w:rsid w:val="00AC7090"/>
    <w:rsid w:val="00AD3547"/>
    <w:rsid w:val="00AD6616"/>
    <w:rsid w:val="00AE3622"/>
    <w:rsid w:val="00AE44C0"/>
    <w:rsid w:val="00AF13C7"/>
    <w:rsid w:val="00AF22C7"/>
    <w:rsid w:val="00B00CDE"/>
    <w:rsid w:val="00B1128F"/>
    <w:rsid w:val="00B11CE6"/>
    <w:rsid w:val="00B12949"/>
    <w:rsid w:val="00B150F4"/>
    <w:rsid w:val="00B20912"/>
    <w:rsid w:val="00B20A52"/>
    <w:rsid w:val="00B22B1B"/>
    <w:rsid w:val="00B22DA1"/>
    <w:rsid w:val="00B26B72"/>
    <w:rsid w:val="00B32424"/>
    <w:rsid w:val="00B37881"/>
    <w:rsid w:val="00B5636F"/>
    <w:rsid w:val="00B67C86"/>
    <w:rsid w:val="00B7664B"/>
    <w:rsid w:val="00B7722F"/>
    <w:rsid w:val="00B77990"/>
    <w:rsid w:val="00B77E24"/>
    <w:rsid w:val="00B80F61"/>
    <w:rsid w:val="00B8681F"/>
    <w:rsid w:val="00B91B36"/>
    <w:rsid w:val="00B91C46"/>
    <w:rsid w:val="00B92AA2"/>
    <w:rsid w:val="00B9339C"/>
    <w:rsid w:val="00B94CDA"/>
    <w:rsid w:val="00BA23CF"/>
    <w:rsid w:val="00BA49B8"/>
    <w:rsid w:val="00BA7DA2"/>
    <w:rsid w:val="00BB2082"/>
    <w:rsid w:val="00BB27D8"/>
    <w:rsid w:val="00BB3FD2"/>
    <w:rsid w:val="00BB6235"/>
    <w:rsid w:val="00BB638E"/>
    <w:rsid w:val="00BC1DB8"/>
    <w:rsid w:val="00BC33AB"/>
    <w:rsid w:val="00BD1B89"/>
    <w:rsid w:val="00BD1C30"/>
    <w:rsid w:val="00BD4859"/>
    <w:rsid w:val="00BD5A48"/>
    <w:rsid w:val="00BE5852"/>
    <w:rsid w:val="00BF321C"/>
    <w:rsid w:val="00BF4BFB"/>
    <w:rsid w:val="00BF4CC9"/>
    <w:rsid w:val="00BF663F"/>
    <w:rsid w:val="00BF6A89"/>
    <w:rsid w:val="00C02A18"/>
    <w:rsid w:val="00C0326A"/>
    <w:rsid w:val="00C04A39"/>
    <w:rsid w:val="00C065CF"/>
    <w:rsid w:val="00C06BB5"/>
    <w:rsid w:val="00C06C9A"/>
    <w:rsid w:val="00C1019A"/>
    <w:rsid w:val="00C12F75"/>
    <w:rsid w:val="00C14B68"/>
    <w:rsid w:val="00C17B64"/>
    <w:rsid w:val="00C2051A"/>
    <w:rsid w:val="00C25606"/>
    <w:rsid w:val="00C265D4"/>
    <w:rsid w:val="00C311C8"/>
    <w:rsid w:val="00C33F62"/>
    <w:rsid w:val="00C40DDB"/>
    <w:rsid w:val="00C60E3E"/>
    <w:rsid w:val="00C7386E"/>
    <w:rsid w:val="00C73BEA"/>
    <w:rsid w:val="00C73D7F"/>
    <w:rsid w:val="00C7445A"/>
    <w:rsid w:val="00C74958"/>
    <w:rsid w:val="00C77A79"/>
    <w:rsid w:val="00C83508"/>
    <w:rsid w:val="00C84739"/>
    <w:rsid w:val="00C84E3D"/>
    <w:rsid w:val="00C85D5E"/>
    <w:rsid w:val="00C86325"/>
    <w:rsid w:val="00CA21E3"/>
    <w:rsid w:val="00CA4259"/>
    <w:rsid w:val="00CA5CD3"/>
    <w:rsid w:val="00CA7D8E"/>
    <w:rsid w:val="00CB2C19"/>
    <w:rsid w:val="00CB7FD0"/>
    <w:rsid w:val="00CC7B0A"/>
    <w:rsid w:val="00CD0850"/>
    <w:rsid w:val="00CD0E7F"/>
    <w:rsid w:val="00CD27FE"/>
    <w:rsid w:val="00CD57C6"/>
    <w:rsid w:val="00CD6EB0"/>
    <w:rsid w:val="00CE1F6F"/>
    <w:rsid w:val="00CE5F34"/>
    <w:rsid w:val="00CF29EF"/>
    <w:rsid w:val="00CF567E"/>
    <w:rsid w:val="00CF5BF7"/>
    <w:rsid w:val="00CF785E"/>
    <w:rsid w:val="00D005BC"/>
    <w:rsid w:val="00D045C6"/>
    <w:rsid w:val="00D04C30"/>
    <w:rsid w:val="00D10237"/>
    <w:rsid w:val="00D15B07"/>
    <w:rsid w:val="00D264A7"/>
    <w:rsid w:val="00D268C8"/>
    <w:rsid w:val="00D273AD"/>
    <w:rsid w:val="00D42D55"/>
    <w:rsid w:val="00D475D0"/>
    <w:rsid w:val="00D506D7"/>
    <w:rsid w:val="00D546A3"/>
    <w:rsid w:val="00D54EF4"/>
    <w:rsid w:val="00D552C9"/>
    <w:rsid w:val="00D61215"/>
    <w:rsid w:val="00D65CE0"/>
    <w:rsid w:val="00D66F58"/>
    <w:rsid w:val="00D72331"/>
    <w:rsid w:val="00D92C5E"/>
    <w:rsid w:val="00D933CF"/>
    <w:rsid w:val="00D94638"/>
    <w:rsid w:val="00D96CB6"/>
    <w:rsid w:val="00D973B7"/>
    <w:rsid w:val="00DA0E60"/>
    <w:rsid w:val="00DA29E6"/>
    <w:rsid w:val="00DB2366"/>
    <w:rsid w:val="00DB5864"/>
    <w:rsid w:val="00DB6FBA"/>
    <w:rsid w:val="00DC0018"/>
    <w:rsid w:val="00DC6A24"/>
    <w:rsid w:val="00DD2F13"/>
    <w:rsid w:val="00DE012A"/>
    <w:rsid w:val="00DE470E"/>
    <w:rsid w:val="00DE58F7"/>
    <w:rsid w:val="00DE7E5E"/>
    <w:rsid w:val="00DF0BCE"/>
    <w:rsid w:val="00DF5C72"/>
    <w:rsid w:val="00E0278C"/>
    <w:rsid w:val="00E02EDC"/>
    <w:rsid w:val="00E049EA"/>
    <w:rsid w:val="00E0530E"/>
    <w:rsid w:val="00E12A7D"/>
    <w:rsid w:val="00E13460"/>
    <w:rsid w:val="00E13EA4"/>
    <w:rsid w:val="00E207C9"/>
    <w:rsid w:val="00E20C6E"/>
    <w:rsid w:val="00E26ACF"/>
    <w:rsid w:val="00E302A3"/>
    <w:rsid w:val="00E318EE"/>
    <w:rsid w:val="00E31D4C"/>
    <w:rsid w:val="00E3488C"/>
    <w:rsid w:val="00E3571A"/>
    <w:rsid w:val="00E45FC7"/>
    <w:rsid w:val="00E53C93"/>
    <w:rsid w:val="00E605B4"/>
    <w:rsid w:val="00E656F7"/>
    <w:rsid w:val="00E6651F"/>
    <w:rsid w:val="00E70AF2"/>
    <w:rsid w:val="00E70E2E"/>
    <w:rsid w:val="00E81155"/>
    <w:rsid w:val="00E85258"/>
    <w:rsid w:val="00E855FF"/>
    <w:rsid w:val="00E85675"/>
    <w:rsid w:val="00E92244"/>
    <w:rsid w:val="00E96BB4"/>
    <w:rsid w:val="00EA73DD"/>
    <w:rsid w:val="00EA7A35"/>
    <w:rsid w:val="00EA7D48"/>
    <w:rsid w:val="00EB4D4A"/>
    <w:rsid w:val="00EB5B21"/>
    <w:rsid w:val="00EB66B8"/>
    <w:rsid w:val="00EB75E6"/>
    <w:rsid w:val="00EC3AA4"/>
    <w:rsid w:val="00EC6958"/>
    <w:rsid w:val="00ED2F15"/>
    <w:rsid w:val="00ED3830"/>
    <w:rsid w:val="00ED708A"/>
    <w:rsid w:val="00EE3621"/>
    <w:rsid w:val="00EE54E9"/>
    <w:rsid w:val="00EE5591"/>
    <w:rsid w:val="00EE62E4"/>
    <w:rsid w:val="00EE6A29"/>
    <w:rsid w:val="00EF31A2"/>
    <w:rsid w:val="00EF3CB2"/>
    <w:rsid w:val="00EF44EA"/>
    <w:rsid w:val="00EF68FA"/>
    <w:rsid w:val="00EF7AC1"/>
    <w:rsid w:val="00F0140C"/>
    <w:rsid w:val="00F022B1"/>
    <w:rsid w:val="00F0433A"/>
    <w:rsid w:val="00F17B65"/>
    <w:rsid w:val="00F24A2D"/>
    <w:rsid w:val="00F25ED5"/>
    <w:rsid w:val="00F30B71"/>
    <w:rsid w:val="00F33395"/>
    <w:rsid w:val="00F3480B"/>
    <w:rsid w:val="00F3670A"/>
    <w:rsid w:val="00F3680C"/>
    <w:rsid w:val="00F37BB7"/>
    <w:rsid w:val="00F41BAA"/>
    <w:rsid w:val="00F42B57"/>
    <w:rsid w:val="00F454E5"/>
    <w:rsid w:val="00F46496"/>
    <w:rsid w:val="00F46EFB"/>
    <w:rsid w:val="00F57109"/>
    <w:rsid w:val="00F61B68"/>
    <w:rsid w:val="00F656C9"/>
    <w:rsid w:val="00F66731"/>
    <w:rsid w:val="00F705B6"/>
    <w:rsid w:val="00F7237C"/>
    <w:rsid w:val="00F7596C"/>
    <w:rsid w:val="00F8568F"/>
    <w:rsid w:val="00F862BB"/>
    <w:rsid w:val="00F9032B"/>
    <w:rsid w:val="00F931FF"/>
    <w:rsid w:val="00F93625"/>
    <w:rsid w:val="00F94C21"/>
    <w:rsid w:val="00F95297"/>
    <w:rsid w:val="00F9721D"/>
    <w:rsid w:val="00FA26FE"/>
    <w:rsid w:val="00FA2996"/>
    <w:rsid w:val="00FA305E"/>
    <w:rsid w:val="00FB352F"/>
    <w:rsid w:val="00FB7B89"/>
    <w:rsid w:val="00FB7F87"/>
    <w:rsid w:val="00FC4057"/>
    <w:rsid w:val="00FC4C08"/>
    <w:rsid w:val="00FC520E"/>
    <w:rsid w:val="00FC5D0E"/>
    <w:rsid w:val="00FD0D5E"/>
    <w:rsid w:val="00FD55C7"/>
    <w:rsid w:val="00FD5C99"/>
    <w:rsid w:val="00FD5FD5"/>
    <w:rsid w:val="00FD7B36"/>
    <w:rsid w:val="00FE403B"/>
    <w:rsid w:val="00FE4EFE"/>
    <w:rsid w:val="00FE7107"/>
    <w:rsid w:val="00FF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8A2560"/>
    <w:rPr>
      <w:rFonts w:ascii="Consolas" w:hAnsi="Consolas"/>
      <w:sz w:val="21"/>
      <w:szCs w:val="21"/>
    </w:rPr>
  </w:style>
  <w:style w:type="character" w:customStyle="1" w:styleId="PlainTextChar">
    <w:name w:val="Plain Text Char"/>
    <w:basedOn w:val="DefaultParagraphFont"/>
    <w:link w:val="PlainText"/>
    <w:uiPriority w:val="99"/>
    <w:rsid w:val="008A2560"/>
    <w:rPr>
      <w:rFonts w:ascii="Consolas" w:hAnsi="Consolas"/>
      <w:sz w:val="21"/>
      <w:szCs w:val="21"/>
    </w:rPr>
  </w:style>
  <w:style w:type="table" w:styleId="TableGrid">
    <w:name w:val="Table Grid"/>
    <w:basedOn w:val="TableNormal"/>
    <w:uiPriority w:val="59"/>
    <w:rsid w:val="006E7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brand">
    <w:name w:val="ptbrand"/>
    <w:basedOn w:val="DefaultParagraphFont"/>
    <w:rsid w:val="00C33F62"/>
  </w:style>
  <w:style w:type="character" w:customStyle="1" w:styleId="bindingandrelease">
    <w:name w:val="bindingandrelease"/>
    <w:basedOn w:val="DefaultParagraphFont"/>
    <w:rsid w:val="00C33F62"/>
  </w:style>
  <w:style w:type="character" w:customStyle="1" w:styleId="contributornametrigger">
    <w:name w:val="contributornametrigger"/>
    <w:basedOn w:val="DefaultParagraphFont"/>
    <w:rsid w:val="0089296C"/>
  </w:style>
  <w:style w:type="paragraph" w:styleId="Header">
    <w:name w:val="header"/>
    <w:basedOn w:val="Normal"/>
    <w:link w:val="HeaderChar"/>
    <w:uiPriority w:val="99"/>
    <w:semiHidden/>
    <w:unhideWhenUsed/>
    <w:rsid w:val="007B5AA6"/>
    <w:pPr>
      <w:tabs>
        <w:tab w:val="center" w:pos="4680"/>
        <w:tab w:val="right" w:pos="9360"/>
      </w:tabs>
    </w:pPr>
  </w:style>
  <w:style w:type="character" w:customStyle="1" w:styleId="HeaderChar">
    <w:name w:val="Header Char"/>
    <w:basedOn w:val="DefaultParagraphFont"/>
    <w:link w:val="Header"/>
    <w:uiPriority w:val="99"/>
    <w:semiHidden/>
    <w:rsid w:val="007B5AA6"/>
  </w:style>
  <w:style w:type="paragraph" w:styleId="Footer">
    <w:name w:val="footer"/>
    <w:basedOn w:val="Normal"/>
    <w:link w:val="FooterChar"/>
    <w:uiPriority w:val="99"/>
    <w:semiHidden/>
    <w:unhideWhenUsed/>
    <w:rsid w:val="007B5AA6"/>
    <w:pPr>
      <w:tabs>
        <w:tab w:val="center" w:pos="4680"/>
        <w:tab w:val="right" w:pos="9360"/>
      </w:tabs>
    </w:pPr>
  </w:style>
  <w:style w:type="character" w:customStyle="1" w:styleId="FooterChar">
    <w:name w:val="Footer Char"/>
    <w:basedOn w:val="DefaultParagraphFont"/>
    <w:link w:val="Footer"/>
    <w:uiPriority w:val="99"/>
    <w:semiHidden/>
    <w:rsid w:val="007B5AA6"/>
  </w:style>
</w:styles>
</file>

<file path=word/webSettings.xml><?xml version="1.0" encoding="utf-8"?>
<w:webSettings xmlns:r="http://schemas.openxmlformats.org/officeDocument/2006/relationships" xmlns:w="http://schemas.openxmlformats.org/wordprocessingml/2006/main">
  <w:divs>
    <w:div w:id="241961254">
      <w:bodyDiv w:val="1"/>
      <w:marLeft w:val="0"/>
      <w:marRight w:val="0"/>
      <w:marTop w:val="0"/>
      <w:marBottom w:val="0"/>
      <w:divBdr>
        <w:top w:val="none" w:sz="0" w:space="0" w:color="auto"/>
        <w:left w:val="none" w:sz="0" w:space="0" w:color="auto"/>
        <w:bottom w:val="none" w:sz="0" w:space="0" w:color="auto"/>
        <w:right w:val="none" w:sz="0" w:space="0" w:color="auto"/>
      </w:divBdr>
    </w:div>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358002252">
      <w:bodyDiv w:val="1"/>
      <w:marLeft w:val="0"/>
      <w:marRight w:val="0"/>
      <w:marTop w:val="0"/>
      <w:marBottom w:val="0"/>
      <w:divBdr>
        <w:top w:val="none" w:sz="0" w:space="0" w:color="auto"/>
        <w:left w:val="none" w:sz="0" w:space="0" w:color="auto"/>
        <w:bottom w:val="none" w:sz="0" w:space="0" w:color="auto"/>
        <w:right w:val="none" w:sz="0" w:space="0" w:color="auto"/>
      </w:divBdr>
    </w:div>
    <w:div w:id="1497333350">
      <w:bodyDiv w:val="1"/>
      <w:marLeft w:val="0"/>
      <w:marRight w:val="0"/>
      <w:marTop w:val="0"/>
      <w:marBottom w:val="0"/>
      <w:divBdr>
        <w:top w:val="none" w:sz="0" w:space="0" w:color="auto"/>
        <w:left w:val="none" w:sz="0" w:space="0" w:color="auto"/>
        <w:bottom w:val="none" w:sz="0" w:space="0" w:color="auto"/>
        <w:right w:val="none" w:sz="0" w:space="0" w:color="auto"/>
      </w:divBdr>
      <w:divsChild>
        <w:div w:id="649939555">
          <w:marLeft w:val="0"/>
          <w:marRight w:val="0"/>
          <w:marTop w:val="0"/>
          <w:marBottom w:val="0"/>
          <w:divBdr>
            <w:top w:val="none" w:sz="0" w:space="0" w:color="auto"/>
            <w:left w:val="none" w:sz="0" w:space="0" w:color="auto"/>
            <w:bottom w:val="none" w:sz="0" w:space="0" w:color="auto"/>
            <w:right w:val="none" w:sz="0" w:space="0" w:color="auto"/>
          </w:divBdr>
        </w:div>
      </w:divsChild>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1918057306">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b.org/cs/BlobServer?blobkey=id&amp;blobwhere=1175824166287&amp;blobheader=application%2Fpdf&amp;blobcol=urldata&amp;blobtable=MungoBlo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EE8C7-70CD-4028-8E72-BBE57E77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8</cp:revision>
  <cp:lastPrinted>2012-05-17T14:33:00Z</cp:lastPrinted>
  <dcterms:created xsi:type="dcterms:W3CDTF">2012-07-27T20:51:00Z</dcterms:created>
  <dcterms:modified xsi:type="dcterms:W3CDTF">2012-07-27T21:46:00Z</dcterms:modified>
</cp:coreProperties>
</file>