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E6A" w:rsidRDefault="00BD6ED6" w:rsidP="00DD2F13">
      <w:pPr>
        <w:rPr>
          <w:rFonts w:ascii="Arial" w:hAnsi="Arial" w:cs="Arial"/>
          <w:b/>
          <w:sz w:val="28"/>
          <w:szCs w:val="28"/>
        </w:rPr>
      </w:pPr>
      <w:r>
        <w:rPr>
          <w:rFonts w:ascii="Arial" w:hAnsi="Arial" w:cs="Arial"/>
          <w:b/>
          <w:sz w:val="28"/>
          <w:szCs w:val="28"/>
        </w:rPr>
        <w:t>NEED PROFIT</w:t>
      </w:r>
      <w:r w:rsidR="006550B6">
        <w:rPr>
          <w:rFonts w:ascii="Arial" w:hAnsi="Arial" w:cs="Arial"/>
          <w:b/>
          <w:sz w:val="28"/>
          <w:szCs w:val="28"/>
        </w:rPr>
        <w:t>?</w:t>
      </w:r>
      <w:r>
        <w:rPr>
          <w:rFonts w:ascii="Arial" w:hAnsi="Arial" w:cs="Arial"/>
          <w:b/>
          <w:sz w:val="28"/>
          <w:szCs w:val="28"/>
        </w:rPr>
        <w:t xml:space="preserve"> BUY SOMETHING!</w:t>
      </w:r>
    </w:p>
    <w:p w:rsidR="00EC3AA4" w:rsidRDefault="00EC3AA4" w:rsidP="00DD2F13">
      <w:pPr>
        <w:rPr>
          <w:rFonts w:ascii="Arial" w:hAnsi="Arial" w:cs="Arial"/>
          <w:b/>
          <w:sz w:val="28"/>
          <w:szCs w:val="28"/>
        </w:rPr>
      </w:pPr>
    </w:p>
    <w:p w:rsidR="00EC3AA4" w:rsidRDefault="00EC3AA4" w:rsidP="00EC3AA4">
      <w:pPr>
        <w:rPr>
          <w:rFonts w:ascii="Arial" w:hAnsi="Arial" w:cs="Arial"/>
          <w:b/>
          <w:i/>
          <w:sz w:val="24"/>
          <w:szCs w:val="24"/>
        </w:rPr>
      </w:pPr>
      <w:r w:rsidRPr="0087771A">
        <w:rPr>
          <w:rFonts w:ascii="Arial" w:hAnsi="Arial" w:cs="Arial"/>
          <w:b/>
          <w:i/>
          <w:sz w:val="24"/>
          <w:szCs w:val="24"/>
        </w:rPr>
        <w:t>Anthony H. Catanach Jr. and J. Edward Ketz</w:t>
      </w:r>
    </w:p>
    <w:p w:rsidR="00EC3AA4" w:rsidRDefault="00EC3AA4" w:rsidP="00EC3AA4">
      <w:pPr>
        <w:rPr>
          <w:rFonts w:ascii="Arial" w:hAnsi="Arial" w:cs="Arial"/>
          <w:b/>
          <w:i/>
          <w:sz w:val="24"/>
          <w:szCs w:val="24"/>
        </w:rPr>
      </w:pPr>
      <w:r>
        <w:rPr>
          <w:rFonts w:ascii="Arial" w:hAnsi="Arial" w:cs="Arial"/>
          <w:b/>
          <w:i/>
          <w:sz w:val="24"/>
          <w:szCs w:val="24"/>
        </w:rPr>
        <w:t xml:space="preserve">Grumpy Old Accountants, </w:t>
      </w:r>
      <w:r w:rsidR="00E57E3B">
        <w:rPr>
          <w:rFonts w:ascii="Arial" w:hAnsi="Arial" w:cs="Arial"/>
          <w:b/>
          <w:i/>
          <w:sz w:val="24"/>
          <w:szCs w:val="24"/>
        </w:rPr>
        <w:t xml:space="preserve">July </w:t>
      </w:r>
      <w:r>
        <w:rPr>
          <w:rFonts w:ascii="Arial" w:hAnsi="Arial" w:cs="Arial"/>
          <w:b/>
          <w:i/>
          <w:sz w:val="24"/>
          <w:szCs w:val="24"/>
        </w:rPr>
        <w:t>2012</w:t>
      </w:r>
    </w:p>
    <w:p w:rsidR="00EC3AA4" w:rsidRDefault="00EC3AA4" w:rsidP="00DD2F13">
      <w:pPr>
        <w:rPr>
          <w:rFonts w:ascii="Arial" w:hAnsi="Arial" w:cs="Arial"/>
          <w:b/>
          <w:sz w:val="28"/>
          <w:szCs w:val="28"/>
        </w:rPr>
      </w:pPr>
    </w:p>
    <w:p w:rsidR="0050716A" w:rsidRDefault="00136C99" w:rsidP="00FB23C1">
      <w:pPr>
        <w:rPr>
          <w:rFonts w:ascii="Verdana" w:hAnsi="Verdana"/>
          <w:sz w:val="24"/>
          <w:szCs w:val="24"/>
        </w:rPr>
      </w:pPr>
      <w:r>
        <w:rPr>
          <w:rFonts w:ascii="Verdana" w:hAnsi="Verdana"/>
          <w:sz w:val="24"/>
          <w:szCs w:val="24"/>
        </w:rPr>
        <w:t xml:space="preserve">We first voiced our concern about an obscure accounting rule that allows companies to “create” profits when purchasing other businesses in </w:t>
      </w:r>
      <w:r w:rsidR="00A92B56">
        <w:rPr>
          <w:rFonts w:ascii="Verdana" w:hAnsi="Verdana"/>
          <w:sz w:val="24"/>
          <w:szCs w:val="24"/>
        </w:rPr>
        <w:t xml:space="preserve">the </w:t>
      </w:r>
      <w:r>
        <w:rPr>
          <w:rFonts w:ascii="Verdana" w:hAnsi="Verdana"/>
          <w:sz w:val="24"/>
          <w:szCs w:val="24"/>
        </w:rPr>
        <w:t>“</w:t>
      </w:r>
      <w:hyperlink r:id="rId8" w:history="1">
        <w:r w:rsidRPr="00136C99">
          <w:rPr>
            <w:rStyle w:val="Hyperlink"/>
            <w:rFonts w:ascii="Verdana" w:hAnsi="Verdana"/>
            <w:sz w:val="24"/>
            <w:szCs w:val="24"/>
          </w:rPr>
          <w:t>Curious Case of Miller Energy’s 10-K and Its Huge Bargain Purchase</w:t>
        </w:r>
      </w:hyperlink>
      <w:r>
        <w:rPr>
          <w:rFonts w:ascii="Verdana" w:hAnsi="Verdana"/>
          <w:sz w:val="24"/>
          <w:szCs w:val="24"/>
        </w:rPr>
        <w:t xml:space="preserve">.”  The offending tenet relates to </w:t>
      </w:r>
      <w:r w:rsidR="00BA0AB9">
        <w:rPr>
          <w:rFonts w:ascii="Verdana" w:hAnsi="Verdana"/>
          <w:sz w:val="24"/>
          <w:szCs w:val="24"/>
        </w:rPr>
        <w:t xml:space="preserve">the treatment of </w:t>
      </w:r>
      <w:r>
        <w:rPr>
          <w:rFonts w:ascii="Verdana" w:hAnsi="Verdana"/>
          <w:sz w:val="24"/>
          <w:szCs w:val="24"/>
        </w:rPr>
        <w:t xml:space="preserve">something called “negative goodwill” which </w:t>
      </w:r>
      <w:r w:rsidR="006550B6">
        <w:rPr>
          <w:rFonts w:ascii="Verdana" w:hAnsi="Verdana"/>
          <w:sz w:val="24"/>
          <w:szCs w:val="24"/>
        </w:rPr>
        <w:t>purportedly</w:t>
      </w:r>
      <w:r>
        <w:rPr>
          <w:rFonts w:ascii="Verdana" w:hAnsi="Verdana"/>
          <w:sz w:val="24"/>
          <w:szCs w:val="24"/>
        </w:rPr>
        <w:t xml:space="preserve"> is created when </w:t>
      </w:r>
      <w:r w:rsidR="00BA0AB9">
        <w:rPr>
          <w:rFonts w:ascii="Verdana" w:hAnsi="Verdana"/>
          <w:sz w:val="24"/>
          <w:szCs w:val="24"/>
        </w:rPr>
        <w:t xml:space="preserve">a company makes an acquisition, and pays </w:t>
      </w:r>
      <w:r w:rsidR="00BA0AB9" w:rsidRPr="00BA0AB9">
        <w:rPr>
          <w:rFonts w:ascii="Verdana" w:hAnsi="Verdana"/>
          <w:b/>
          <w:i/>
          <w:sz w:val="24"/>
          <w:szCs w:val="24"/>
        </w:rPr>
        <w:t>less</w:t>
      </w:r>
      <w:r w:rsidR="00BA0AB9">
        <w:rPr>
          <w:rFonts w:ascii="Verdana" w:hAnsi="Verdana"/>
          <w:sz w:val="24"/>
          <w:szCs w:val="24"/>
        </w:rPr>
        <w:t xml:space="preserve"> than </w:t>
      </w:r>
      <w:r w:rsidR="00BD6ED6">
        <w:rPr>
          <w:rFonts w:ascii="Verdana" w:hAnsi="Verdana"/>
          <w:sz w:val="24"/>
          <w:szCs w:val="24"/>
        </w:rPr>
        <w:t>what the assets are worth.  This fantastic</w:t>
      </w:r>
      <w:r w:rsidR="00BA0AB9">
        <w:rPr>
          <w:rFonts w:ascii="Verdana" w:hAnsi="Verdana"/>
          <w:sz w:val="24"/>
          <w:szCs w:val="24"/>
        </w:rPr>
        <w:t xml:space="preserve"> “bargain purchase” creates </w:t>
      </w:r>
      <w:r w:rsidR="00A92B56">
        <w:rPr>
          <w:rFonts w:ascii="Verdana" w:hAnsi="Verdana"/>
          <w:sz w:val="24"/>
          <w:szCs w:val="24"/>
        </w:rPr>
        <w:t>a</w:t>
      </w:r>
      <w:r w:rsidR="00BA0AB9">
        <w:rPr>
          <w:rFonts w:ascii="Verdana" w:hAnsi="Verdana"/>
          <w:sz w:val="24"/>
          <w:szCs w:val="24"/>
        </w:rPr>
        <w:t xml:space="preserve"> negative goodwill anomaly because the acquirer supposedly gets </w:t>
      </w:r>
      <w:r w:rsidR="00BA0AB9" w:rsidRPr="00BD6ED6">
        <w:rPr>
          <w:rFonts w:ascii="Verdana" w:hAnsi="Verdana"/>
          <w:b/>
          <w:i/>
          <w:sz w:val="24"/>
          <w:szCs w:val="24"/>
        </w:rPr>
        <w:t xml:space="preserve">more </w:t>
      </w:r>
      <w:r w:rsidR="00BA0AB9">
        <w:rPr>
          <w:rFonts w:ascii="Verdana" w:hAnsi="Verdana"/>
          <w:sz w:val="24"/>
          <w:szCs w:val="24"/>
        </w:rPr>
        <w:t>assets than it pays for, as in this example:</w:t>
      </w:r>
    </w:p>
    <w:p w:rsidR="00BA0AB9" w:rsidRDefault="00BA0AB9" w:rsidP="00FB23C1">
      <w:pPr>
        <w:rPr>
          <w:rFonts w:ascii="Verdana" w:hAnsi="Verdana"/>
          <w:sz w:val="24"/>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0"/>
        <w:gridCol w:w="1800"/>
      </w:tblGrid>
      <w:tr w:rsidR="006F4965" w:rsidRPr="006F4965" w:rsidTr="006F4965">
        <w:tc>
          <w:tcPr>
            <w:tcW w:w="4680" w:type="dxa"/>
          </w:tcPr>
          <w:p w:rsidR="006F4965" w:rsidRPr="006F4965" w:rsidRDefault="006F4965" w:rsidP="00FB23C1">
            <w:pPr>
              <w:rPr>
                <w:rFonts w:ascii="Verdana" w:hAnsi="Verdana"/>
                <w:sz w:val="20"/>
                <w:szCs w:val="20"/>
              </w:rPr>
            </w:pPr>
            <w:r w:rsidRPr="006F4965">
              <w:rPr>
                <w:rFonts w:ascii="Verdana" w:hAnsi="Verdana"/>
                <w:sz w:val="20"/>
                <w:szCs w:val="20"/>
              </w:rPr>
              <w:t>Net working capital acquired</w:t>
            </w:r>
          </w:p>
        </w:tc>
        <w:tc>
          <w:tcPr>
            <w:tcW w:w="1800" w:type="dxa"/>
          </w:tcPr>
          <w:p w:rsidR="006F4965" w:rsidRPr="006F4965" w:rsidRDefault="006F4965" w:rsidP="00FB23C1">
            <w:pPr>
              <w:jc w:val="center"/>
              <w:rPr>
                <w:rFonts w:ascii="Verdana" w:hAnsi="Verdana"/>
                <w:sz w:val="20"/>
                <w:szCs w:val="20"/>
              </w:rPr>
            </w:pPr>
            <w:r>
              <w:rPr>
                <w:rFonts w:ascii="Verdana" w:hAnsi="Verdana"/>
                <w:sz w:val="20"/>
                <w:szCs w:val="20"/>
              </w:rPr>
              <w:t>$</w:t>
            </w:r>
            <w:r w:rsidRPr="006F4965">
              <w:rPr>
                <w:rFonts w:ascii="Verdana" w:hAnsi="Verdana"/>
                <w:sz w:val="20"/>
                <w:szCs w:val="20"/>
              </w:rPr>
              <w:t>3</w:t>
            </w:r>
            <w:r>
              <w:rPr>
                <w:rFonts w:ascii="Verdana" w:hAnsi="Verdana"/>
                <w:sz w:val="20"/>
                <w:szCs w:val="20"/>
              </w:rPr>
              <w:t>,</w:t>
            </w:r>
            <w:r w:rsidRPr="006F4965">
              <w:rPr>
                <w:rFonts w:ascii="Verdana" w:hAnsi="Verdana"/>
                <w:sz w:val="20"/>
                <w:szCs w:val="20"/>
              </w:rPr>
              <w:t>125</w:t>
            </w:r>
            <w:r>
              <w:rPr>
                <w:rFonts w:ascii="Verdana" w:hAnsi="Verdana"/>
                <w:sz w:val="20"/>
                <w:szCs w:val="20"/>
              </w:rPr>
              <w:t>,</w:t>
            </w:r>
            <w:r w:rsidRPr="006F4965">
              <w:rPr>
                <w:rFonts w:ascii="Verdana" w:hAnsi="Verdana"/>
                <w:sz w:val="20"/>
                <w:szCs w:val="20"/>
              </w:rPr>
              <w:t>000</w:t>
            </w:r>
          </w:p>
        </w:tc>
      </w:tr>
      <w:tr w:rsidR="006F4965" w:rsidRPr="006F4965" w:rsidTr="006F4965">
        <w:tc>
          <w:tcPr>
            <w:tcW w:w="4680" w:type="dxa"/>
          </w:tcPr>
          <w:p w:rsidR="006F4965" w:rsidRPr="006F4965" w:rsidRDefault="006F4965" w:rsidP="00FB23C1">
            <w:pPr>
              <w:rPr>
                <w:rFonts w:ascii="Verdana" w:hAnsi="Verdana"/>
                <w:sz w:val="20"/>
                <w:szCs w:val="20"/>
              </w:rPr>
            </w:pPr>
            <w:r w:rsidRPr="006F4965">
              <w:rPr>
                <w:rFonts w:ascii="Verdana" w:hAnsi="Verdana"/>
                <w:sz w:val="20"/>
                <w:szCs w:val="20"/>
              </w:rPr>
              <w:t>Property, plant, and equipment</w:t>
            </w:r>
          </w:p>
        </w:tc>
        <w:tc>
          <w:tcPr>
            <w:tcW w:w="1800" w:type="dxa"/>
          </w:tcPr>
          <w:p w:rsidR="006F4965" w:rsidRPr="006F4965" w:rsidRDefault="006F4965" w:rsidP="00FB23C1">
            <w:pPr>
              <w:jc w:val="center"/>
              <w:rPr>
                <w:rFonts w:ascii="Verdana" w:hAnsi="Verdana"/>
                <w:sz w:val="20"/>
                <w:szCs w:val="20"/>
              </w:rPr>
            </w:pPr>
            <w:r>
              <w:rPr>
                <w:rFonts w:ascii="Verdana" w:hAnsi="Verdana"/>
                <w:sz w:val="20"/>
                <w:szCs w:val="20"/>
              </w:rPr>
              <w:t xml:space="preserve">  </w:t>
            </w:r>
            <w:r w:rsidRPr="006F4965">
              <w:rPr>
                <w:rFonts w:ascii="Verdana" w:hAnsi="Verdana"/>
                <w:sz w:val="20"/>
                <w:szCs w:val="20"/>
              </w:rPr>
              <w:t>7</w:t>
            </w:r>
            <w:r>
              <w:rPr>
                <w:rFonts w:ascii="Verdana" w:hAnsi="Verdana"/>
                <w:sz w:val="20"/>
                <w:szCs w:val="20"/>
              </w:rPr>
              <w:t>,</w:t>
            </w:r>
            <w:r w:rsidRPr="006F4965">
              <w:rPr>
                <w:rFonts w:ascii="Verdana" w:hAnsi="Verdana"/>
                <w:sz w:val="20"/>
                <w:szCs w:val="20"/>
              </w:rPr>
              <w:t>200</w:t>
            </w:r>
            <w:r>
              <w:rPr>
                <w:rFonts w:ascii="Verdana" w:hAnsi="Verdana"/>
                <w:sz w:val="20"/>
                <w:szCs w:val="20"/>
              </w:rPr>
              <w:t>,</w:t>
            </w:r>
            <w:r w:rsidRPr="006F4965">
              <w:rPr>
                <w:rFonts w:ascii="Verdana" w:hAnsi="Verdana"/>
                <w:sz w:val="20"/>
                <w:szCs w:val="20"/>
              </w:rPr>
              <w:t>000</w:t>
            </w:r>
          </w:p>
        </w:tc>
      </w:tr>
      <w:tr w:rsidR="006F4965" w:rsidRPr="006F4965" w:rsidTr="006F4965">
        <w:tc>
          <w:tcPr>
            <w:tcW w:w="4680" w:type="dxa"/>
          </w:tcPr>
          <w:p w:rsidR="006F4965" w:rsidRPr="006F4965" w:rsidRDefault="006F4965" w:rsidP="00FB23C1">
            <w:pPr>
              <w:rPr>
                <w:rFonts w:ascii="Verdana" w:hAnsi="Verdana"/>
                <w:sz w:val="20"/>
                <w:szCs w:val="20"/>
              </w:rPr>
            </w:pPr>
            <w:r w:rsidRPr="006F4965">
              <w:rPr>
                <w:rFonts w:ascii="Verdana" w:hAnsi="Verdana"/>
                <w:sz w:val="20"/>
                <w:szCs w:val="20"/>
              </w:rPr>
              <w:t>Long-term debt</w:t>
            </w:r>
          </w:p>
        </w:tc>
        <w:tc>
          <w:tcPr>
            <w:tcW w:w="1800" w:type="dxa"/>
            <w:tcBorders>
              <w:bottom w:val="single" w:sz="4" w:space="0" w:color="auto"/>
            </w:tcBorders>
          </w:tcPr>
          <w:p w:rsidR="006F4965" w:rsidRPr="006F4965" w:rsidRDefault="006F4965" w:rsidP="00FB23C1">
            <w:pPr>
              <w:jc w:val="center"/>
              <w:rPr>
                <w:rFonts w:ascii="Verdana" w:hAnsi="Verdana"/>
                <w:sz w:val="20"/>
                <w:szCs w:val="20"/>
              </w:rPr>
            </w:pPr>
            <w:r>
              <w:rPr>
                <w:rFonts w:ascii="Verdana" w:hAnsi="Verdana"/>
                <w:sz w:val="20"/>
                <w:szCs w:val="20"/>
              </w:rPr>
              <w:t xml:space="preserve">  </w:t>
            </w:r>
            <w:r w:rsidRPr="006F4965">
              <w:rPr>
                <w:rFonts w:ascii="Verdana" w:hAnsi="Verdana"/>
                <w:sz w:val="20"/>
                <w:szCs w:val="20"/>
              </w:rPr>
              <w:t>(1</w:t>
            </w:r>
            <w:r>
              <w:rPr>
                <w:rFonts w:ascii="Verdana" w:hAnsi="Verdana"/>
                <w:sz w:val="20"/>
                <w:szCs w:val="20"/>
              </w:rPr>
              <w:t>,</w:t>
            </w:r>
            <w:r w:rsidRPr="006F4965">
              <w:rPr>
                <w:rFonts w:ascii="Verdana" w:hAnsi="Verdana"/>
                <w:sz w:val="20"/>
                <w:szCs w:val="20"/>
              </w:rPr>
              <w:t>500</w:t>
            </w:r>
            <w:r>
              <w:rPr>
                <w:rFonts w:ascii="Verdana" w:hAnsi="Verdana"/>
                <w:sz w:val="20"/>
                <w:szCs w:val="20"/>
              </w:rPr>
              <w:t>,</w:t>
            </w:r>
            <w:r w:rsidRPr="006F4965">
              <w:rPr>
                <w:rFonts w:ascii="Verdana" w:hAnsi="Verdana"/>
                <w:sz w:val="20"/>
                <w:szCs w:val="20"/>
              </w:rPr>
              <w:t>000)</w:t>
            </w:r>
          </w:p>
        </w:tc>
      </w:tr>
      <w:tr w:rsidR="006F4965" w:rsidRPr="006F4965" w:rsidTr="00BD6ED6">
        <w:tc>
          <w:tcPr>
            <w:tcW w:w="4680" w:type="dxa"/>
          </w:tcPr>
          <w:p w:rsidR="006F4965" w:rsidRPr="006F4965" w:rsidRDefault="006F4965" w:rsidP="00FB23C1">
            <w:pPr>
              <w:rPr>
                <w:rFonts w:ascii="Verdana" w:hAnsi="Verdana"/>
                <w:sz w:val="20"/>
                <w:szCs w:val="20"/>
              </w:rPr>
            </w:pPr>
            <w:r>
              <w:rPr>
                <w:rFonts w:ascii="Verdana" w:hAnsi="Verdana"/>
                <w:sz w:val="20"/>
                <w:szCs w:val="20"/>
              </w:rPr>
              <w:t>Total net assets acquired</w:t>
            </w:r>
          </w:p>
        </w:tc>
        <w:tc>
          <w:tcPr>
            <w:tcW w:w="1800" w:type="dxa"/>
            <w:tcBorders>
              <w:top w:val="single" w:sz="4" w:space="0" w:color="auto"/>
            </w:tcBorders>
          </w:tcPr>
          <w:p w:rsidR="006F4965" w:rsidRPr="006F4965" w:rsidRDefault="006F4965" w:rsidP="00FB23C1">
            <w:pPr>
              <w:jc w:val="center"/>
              <w:rPr>
                <w:rFonts w:ascii="Verdana" w:hAnsi="Verdana"/>
                <w:sz w:val="20"/>
                <w:szCs w:val="20"/>
              </w:rPr>
            </w:pPr>
            <w:r>
              <w:rPr>
                <w:rFonts w:ascii="Verdana" w:hAnsi="Verdana"/>
                <w:sz w:val="20"/>
                <w:szCs w:val="20"/>
              </w:rPr>
              <w:t xml:space="preserve">  8,825,000</w:t>
            </w:r>
          </w:p>
        </w:tc>
      </w:tr>
      <w:tr w:rsidR="006F4965" w:rsidRPr="006F4965" w:rsidTr="00BD6ED6">
        <w:tc>
          <w:tcPr>
            <w:tcW w:w="4680" w:type="dxa"/>
          </w:tcPr>
          <w:p w:rsidR="006F4965" w:rsidRPr="006F4965" w:rsidRDefault="006F4965" w:rsidP="00FB23C1">
            <w:pPr>
              <w:rPr>
                <w:rFonts w:ascii="Verdana" w:hAnsi="Verdana"/>
                <w:sz w:val="20"/>
                <w:szCs w:val="20"/>
              </w:rPr>
            </w:pPr>
            <w:r w:rsidRPr="006F4965">
              <w:rPr>
                <w:rFonts w:ascii="Verdana" w:hAnsi="Verdana"/>
                <w:sz w:val="20"/>
                <w:szCs w:val="20"/>
              </w:rPr>
              <w:t>Purchase price</w:t>
            </w:r>
          </w:p>
        </w:tc>
        <w:tc>
          <w:tcPr>
            <w:tcW w:w="1800" w:type="dxa"/>
            <w:tcBorders>
              <w:bottom w:val="single" w:sz="4" w:space="0" w:color="auto"/>
            </w:tcBorders>
          </w:tcPr>
          <w:p w:rsidR="006F4965" w:rsidRPr="006F4965" w:rsidRDefault="006550B6" w:rsidP="00FB23C1">
            <w:pPr>
              <w:jc w:val="center"/>
              <w:rPr>
                <w:rFonts w:ascii="Verdana" w:hAnsi="Verdana"/>
                <w:sz w:val="20"/>
                <w:szCs w:val="20"/>
              </w:rPr>
            </w:pPr>
            <w:r>
              <w:rPr>
                <w:rFonts w:ascii="Verdana" w:hAnsi="Verdana"/>
                <w:sz w:val="20"/>
                <w:szCs w:val="20"/>
              </w:rPr>
              <w:t xml:space="preserve">  </w:t>
            </w:r>
            <w:r w:rsidR="006F4965" w:rsidRPr="006F4965">
              <w:rPr>
                <w:rFonts w:ascii="Verdana" w:hAnsi="Verdana"/>
                <w:sz w:val="20"/>
                <w:szCs w:val="20"/>
              </w:rPr>
              <w:t>5,000,000</w:t>
            </w:r>
          </w:p>
        </w:tc>
      </w:tr>
      <w:tr w:rsidR="006F4965" w:rsidRPr="006F4965" w:rsidTr="00BD6ED6">
        <w:tc>
          <w:tcPr>
            <w:tcW w:w="4680" w:type="dxa"/>
          </w:tcPr>
          <w:p w:rsidR="006F4965" w:rsidRPr="006F4965" w:rsidRDefault="006F4965" w:rsidP="00FB23C1">
            <w:pPr>
              <w:rPr>
                <w:rFonts w:ascii="Verdana" w:hAnsi="Verdana"/>
                <w:sz w:val="20"/>
                <w:szCs w:val="20"/>
              </w:rPr>
            </w:pPr>
            <w:r w:rsidRPr="006F4965">
              <w:rPr>
                <w:rFonts w:ascii="Verdana" w:hAnsi="Verdana"/>
                <w:sz w:val="20"/>
                <w:szCs w:val="20"/>
              </w:rPr>
              <w:t xml:space="preserve">Negative goodwill </w:t>
            </w:r>
          </w:p>
          <w:p w:rsidR="006F4965" w:rsidRPr="006F4965" w:rsidRDefault="006F4965" w:rsidP="00FB23C1">
            <w:pPr>
              <w:rPr>
                <w:rFonts w:ascii="Verdana" w:hAnsi="Verdana"/>
                <w:sz w:val="20"/>
                <w:szCs w:val="20"/>
              </w:rPr>
            </w:pPr>
            <w:r w:rsidRPr="006F4965">
              <w:rPr>
                <w:rFonts w:ascii="Verdana" w:hAnsi="Verdana"/>
                <w:sz w:val="20"/>
                <w:szCs w:val="20"/>
              </w:rPr>
              <w:t>(excess of fair value over cost)</w:t>
            </w:r>
          </w:p>
        </w:tc>
        <w:tc>
          <w:tcPr>
            <w:tcW w:w="1800" w:type="dxa"/>
            <w:tcBorders>
              <w:top w:val="single" w:sz="4" w:space="0" w:color="auto"/>
              <w:bottom w:val="double" w:sz="4" w:space="0" w:color="auto"/>
            </w:tcBorders>
          </w:tcPr>
          <w:p w:rsidR="006F4965" w:rsidRDefault="006F4965" w:rsidP="00FB23C1">
            <w:pPr>
              <w:jc w:val="center"/>
              <w:rPr>
                <w:rFonts w:ascii="Verdana" w:hAnsi="Verdana"/>
                <w:sz w:val="20"/>
                <w:szCs w:val="20"/>
              </w:rPr>
            </w:pPr>
          </w:p>
          <w:p w:rsidR="006F4965" w:rsidRPr="006F4965" w:rsidRDefault="006550B6" w:rsidP="006550B6">
            <w:pPr>
              <w:rPr>
                <w:rFonts w:ascii="Verdana" w:hAnsi="Verdana"/>
                <w:sz w:val="20"/>
                <w:szCs w:val="20"/>
              </w:rPr>
            </w:pPr>
            <w:r>
              <w:rPr>
                <w:rFonts w:ascii="Verdana" w:hAnsi="Verdana"/>
                <w:sz w:val="20"/>
                <w:szCs w:val="20"/>
              </w:rPr>
              <w:t xml:space="preserve">   </w:t>
            </w:r>
            <w:r w:rsidR="00BD6ED6">
              <w:rPr>
                <w:rFonts w:ascii="Verdana" w:hAnsi="Verdana"/>
                <w:sz w:val="20"/>
                <w:szCs w:val="20"/>
              </w:rPr>
              <w:t xml:space="preserve"> </w:t>
            </w:r>
            <w:r w:rsidR="006F4965">
              <w:rPr>
                <w:rFonts w:ascii="Verdana" w:hAnsi="Verdana"/>
                <w:sz w:val="20"/>
                <w:szCs w:val="20"/>
              </w:rPr>
              <w:t>$</w:t>
            </w:r>
            <w:r>
              <w:rPr>
                <w:rFonts w:ascii="Verdana" w:hAnsi="Verdana"/>
                <w:sz w:val="20"/>
                <w:szCs w:val="20"/>
              </w:rPr>
              <w:t>3</w:t>
            </w:r>
            <w:r w:rsidR="006F4965">
              <w:rPr>
                <w:rFonts w:ascii="Verdana" w:hAnsi="Verdana"/>
                <w:sz w:val="20"/>
                <w:szCs w:val="20"/>
              </w:rPr>
              <w:t>,</w:t>
            </w:r>
            <w:r>
              <w:rPr>
                <w:rFonts w:ascii="Verdana" w:hAnsi="Verdana"/>
                <w:sz w:val="20"/>
                <w:szCs w:val="20"/>
              </w:rPr>
              <w:t>82</w:t>
            </w:r>
            <w:r w:rsidR="006F4965">
              <w:rPr>
                <w:rFonts w:ascii="Verdana" w:hAnsi="Verdana"/>
                <w:sz w:val="20"/>
                <w:szCs w:val="20"/>
              </w:rPr>
              <w:t>5,000</w:t>
            </w:r>
          </w:p>
        </w:tc>
      </w:tr>
    </w:tbl>
    <w:p w:rsidR="00BD6ED6" w:rsidRDefault="00BD6ED6" w:rsidP="00FB23C1">
      <w:pPr>
        <w:rPr>
          <w:rFonts w:ascii="Verdana" w:hAnsi="Verdana"/>
          <w:sz w:val="24"/>
          <w:szCs w:val="24"/>
        </w:rPr>
      </w:pPr>
    </w:p>
    <w:p w:rsidR="00BD6ED6" w:rsidRDefault="00BD6ED6" w:rsidP="00FB23C1">
      <w:pPr>
        <w:rPr>
          <w:rFonts w:ascii="Verdana" w:hAnsi="Verdana"/>
          <w:sz w:val="24"/>
          <w:szCs w:val="24"/>
        </w:rPr>
      </w:pPr>
      <w:r>
        <w:rPr>
          <w:rFonts w:ascii="Verdana" w:hAnsi="Verdana"/>
          <w:sz w:val="24"/>
          <w:szCs w:val="24"/>
        </w:rPr>
        <w:t xml:space="preserve">So, what’s the problem?  Well, the acquirer now gets to book the </w:t>
      </w:r>
      <w:r w:rsidR="008C5EEB">
        <w:rPr>
          <w:rFonts w:ascii="Verdana" w:hAnsi="Verdana"/>
          <w:sz w:val="24"/>
          <w:szCs w:val="24"/>
        </w:rPr>
        <w:t>entire $</w:t>
      </w:r>
      <w:r w:rsidR="006550B6">
        <w:rPr>
          <w:rFonts w:ascii="Verdana" w:hAnsi="Verdana"/>
          <w:sz w:val="24"/>
          <w:szCs w:val="24"/>
        </w:rPr>
        <w:t>3</w:t>
      </w:r>
      <w:r w:rsidR="008C5EEB">
        <w:rPr>
          <w:rFonts w:ascii="Verdana" w:hAnsi="Verdana"/>
          <w:sz w:val="24"/>
          <w:szCs w:val="24"/>
        </w:rPr>
        <w:t>.</w:t>
      </w:r>
      <w:r w:rsidR="006550B6">
        <w:rPr>
          <w:rFonts w:ascii="Verdana" w:hAnsi="Verdana"/>
          <w:sz w:val="24"/>
          <w:szCs w:val="24"/>
        </w:rPr>
        <w:t>8</w:t>
      </w:r>
      <w:r w:rsidR="008C5EEB">
        <w:rPr>
          <w:rFonts w:ascii="Verdana" w:hAnsi="Verdana"/>
          <w:sz w:val="24"/>
          <w:szCs w:val="24"/>
        </w:rPr>
        <w:t xml:space="preserve"> million of </w:t>
      </w:r>
      <w:r>
        <w:rPr>
          <w:rFonts w:ascii="Verdana" w:hAnsi="Verdana"/>
          <w:sz w:val="24"/>
          <w:szCs w:val="24"/>
        </w:rPr>
        <w:t>negative goodwill into earnings on the date of the transaction</w:t>
      </w:r>
      <w:r w:rsidR="00C77D2D">
        <w:rPr>
          <w:rFonts w:ascii="Verdana" w:hAnsi="Verdana"/>
          <w:sz w:val="24"/>
          <w:szCs w:val="24"/>
        </w:rPr>
        <w:t xml:space="preserve">!  </w:t>
      </w:r>
      <w:r w:rsidR="008C5EEB">
        <w:rPr>
          <w:rFonts w:ascii="Verdana" w:hAnsi="Verdana"/>
          <w:sz w:val="24"/>
          <w:szCs w:val="24"/>
        </w:rPr>
        <w:t xml:space="preserve">And as we saw in the case of Miller Energy, the profit contribution can be staggering.  </w:t>
      </w:r>
      <w:r w:rsidR="00C77D2D">
        <w:rPr>
          <w:rFonts w:ascii="Verdana" w:hAnsi="Verdana"/>
          <w:sz w:val="24"/>
          <w:szCs w:val="24"/>
        </w:rPr>
        <w:t>Hence, our assertion…need profit, buy something!</w:t>
      </w:r>
    </w:p>
    <w:p w:rsidR="00C77D2D" w:rsidRDefault="00C77D2D" w:rsidP="00FB23C1">
      <w:pPr>
        <w:rPr>
          <w:rFonts w:ascii="Verdana" w:hAnsi="Verdana"/>
          <w:sz w:val="24"/>
          <w:szCs w:val="24"/>
        </w:rPr>
      </w:pPr>
    </w:p>
    <w:p w:rsidR="00B86A44" w:rsidRDefault="00C77D2D" w:rsidP="00FB23C1">
      <w:pPr>
        <w:rPr>
          <w:rFonts w:ascii="Verdana" w:hAnsi="Verdana"/>
          <w:sz w:val="24"/>
          <w:szCs w:val="24"/>
        </w:rPr>
      </w:pPr>
      <w:r>
        <w:rPr>
          <w:rFonts w:ascii="Verdana" w:hAnsi="Verdana"/>
          <w:sz w:val="24"/>
          <w:szCs w:val="24"/>
        </w:rPr>
        <w:t xml:space="preserve">When Statement of Financial Standards No. 141(R), </w:t>
      </w:r>
      <w:r w:rsidRPr="00C77D2D">
        <w:rPr>
          <w:rFonts w:ascii="Verdana" w:hAnsi="Verdana"/>
          <w:i/>
          <w:sz w:val="24"/>
          <w:szCs w:val="24"/>
        </w:rPr>
        <w:t>Business Combinations</w:t>
      </w:r>
      <w:r>
        <w:rPr>
          <w:rFonts w:ascii="Verdana" w:hAnsi="Verdana"/>
          <w:sz w:val="24"/>
          <w:szCs w:val="24"/>
        </w:rPr>
        <w:t xml:space="preserve">, was issued in December 2007, we simply couldn’t foresee how managers would create an “income opportunity” for themselves from what would initially appear to be such </w:t>
      </w:r>
      <w:r w:rsidR="00075BFB">
        <w:rPr>
          <w:rFonts w:ascii="Verdana" w:hAnsi="Verdana"/>
          <w:sz w:val="24"/>
          <w:szCs w:val="24"/>
        </w:rPr>
        <w:t xml:space="preserve">a </w:t>
      </w:r>
      <w:r>
        <w:rPr>
          <w:rFonts w:ascii="Verdana" w:hAnsi="Verdana"/>
          <w:sz w:val="24"/>
          <w:szCs w:val="24"/>
        </w:rPr>
        <w:t xml:space="preserve">rare event.  </w:t>
      </w:r>
      <w:r w:rsidR="00075BFB">
        <w:rPr>
          <w:rFonts w:ascii="Verdana" w:hAnsi="Verdana"/>
          <w:sz w:val="24"/>
          <w:szCs w:val="24"/>
        </w:rPr>
        <w:t>M</w:t>
      </w:r>
      <w:r>
        <w:rPr>
          <w:rFonts w:ascii="Verdana" w:hAnsi="Verdana"/>
          <w:sz w:val="24"/>
          <w:szCs w:val="24"/>
        </w:rPr>
        <w:t>uch to our chagrin, more and more companies seem to be availing themselves of this income enhancing “opportunity.”</w:t>
      </w:r>
    </w:p>
    <w:p w:rsidR="00C77D2D" w:rsidRDefault="00C77D2D" w:rsidP="00FB23C1">
      <w:pPr>
        <w:rPr>
          <w:rFonts w:ascii="Verdana" w:hAnsi="Verdana"/>
          <w:sz w:val="24"/>
          <w:szCs w:val="24"/>
        </w:rPr>
      </w:pPr>
    </w:p>
    <w:p w:rsidR="00C77D2D" w:rsidRDefault="00C77D2D" w:rsidP="00FB23C1">
      <w:pPr>
        <w:rPr>
          <w:rFonts w:ascii="Verdana" w:hAnsi="Verdana"/>
          <w:sz w:val="24"/>
          <w:szCs w:val="24"/>
        </w:rPr>
      </w:pPr>
      <w:r>
        <w:rPr>
          <w:rFonts w:ascii="Verdana" w:hAnsi="Verdana"/>
          <w:sz w:val="24"/>
          <w:szCs w:val="24"/>
        </w:rPr>
        <w:t xml:space="preserve">In addition to Miller Energy, we </w:t>
      </w:r>
      <w:r w:rsidR="00FB23C1">
        <w:rPr>
          <w:rFonts w:ascii="Verdana" w:hAnsi="Verdana"/>
          <w:sz w:val="24"/>
          <w:szCs w:val="24"/>
        </w:rPr>
        <w:t xml:space="preserve">recently </w:t>
      </w:r>
      <w:r w:rsidR="00D45FB3">
        <w:rPr>
          <w:rFonts w:ascii="Verdana" w:hAnsi="Verdana"/>
          <w:sz w:val="24"/>
          <w:szCs w:val="24"/>
        </w:rPr>
        <w:t xml:space="preserve">stumbled across </w:t>
      </w:r>
      <w:r>
        <w:rPr>
          <w:rFonts w:ascii="Verdana" w:hAnsi="Verdana"/>
          <w:sz w:val="24"/>
          <w:szCs w:val="24"/>
        </w:rPr>
        <w:t>examples</w:t>
      </w:r>
      <w:r w:rsidR="00D45FB3">
        <w:rPr>
          <w:rFonts w:ascii="Verdana" w:hAnsi="Verdana"/>
          <w:sz w:val="24"/>
          <w:szCs w:val="24"/>
        </w:rPr>
        <w:t xml:space="preserve"> of bargain purchase gains </w:t>
      </w:r>
      <w:r w:rsidR="00FB23C1">
        <w:rPr>
          <w:rFonts w:ascii="Verdana" w:hAnsi="Verdana"/>
          <w:sz w:val="24"/>
          <w:szCs w:val="24"/>
        </w:rPr>
        <w:t xml:space="preserve">in 2011 </w:t>
      </w:r>
      <w:r w:rsidR="006250C5">
        <w:rPr>
          <w:rFonts w:ascii="Verdana" w:hAnsi="Verdana"/>
          <w:sz w:val="24"/>
          <w:szCs w:val="24"/>
        </w:rPr>
        <w:t xml:space="preserve">at </w:t>
      </w:r>
      <w:r w:rsidR="00D45FB3">
        <w:rPr>
          <w:rFonts w:ascii="Verdana" w:hAnsi="Verdana"/>
          <w:sz w:val="24"/>
          <w:szCs w:val="24"/>
        </w:rPr>
        <w:t>Under</w:t>
      </w:r>
      <w:r w:rsidR="00393E26">
        <w:rPr>
          <w:rFonts w:ascii="Verdana" w:hAnsi="Verdana"/>
          <w:sz w:val="24"/>
          <w:szCs w:val="24"/>
        </w:rPr>
        <w:t xml:space="preserve"> </w:t>
      </w:r>
      <w:r w:rsidR="00D45FB3">
        <w:rPr>
          <w:rFonts w:ascii="Verdana" w:hAnsi="Verdana"/>
          <w:sz w:val="24"/>
          <w:szCs w:val="24"/>
        </w:rPr>
        <w:t xml:space="preserve">Armour </w:t>
      </w:r>
      <w:r w:rsidR="007B26C2">
        <w:rPr>
          <w:rFonts w:ascii="Verdana" w:hAnsi="Verdana"/>
          <w:sz w:val="24"/>
          <w:szCs w:val="24"/>
        </w:rPr>
        <w:t xml:space="preserve">(UA) </w:t>
      </w:r>
      <w:r w:rsidR="00D45FB3">
        <w:rPr>
          <w:rFonts w:ascii="Verdana" w:hAnsi="Verdana"/>
          <w:sz w:val="24"/>
          <w:szCs w:val="24"/>
        </w:rPr>
        <w:t>and Cenv</w:t>
      </w:r>
      <w:r w:rsidR="007B26C2">
        <w:rPr>
          <w:rFonts w:ascii="Verdana" w:hAnsi="Verdana"/>
          <w:sz w:val="24"/>
          <w:szCs w:val="24"/>
        </w:rPr>
        <w:t>e</w:t>
      </w:r>
      <w:r w:rsidR="00D45FB3">
        <w:rPr>
          <w:rFonts w:ascii="Verdana" w:hAnsi="Verdana"/>
          <w:sz w:val="24"/>
          <w:szCs w:val="24"/>
        </w:rPr>
        <w:t>o</w:t>
      </w:r>
      <w:r w:rsidR="007B26C2">
        <w:rPr>
          <w:rFonts w:ascii="Verdana" w:hAnsi="Verdana"/>
          <w:sz w:val="24"/>
          <w:szCs w:val="24"/>
        </w:rPr>
        <w:t xml:space="preserve"> (CVO)</w:t>
      </w:r>
      <w:r w:rsidR="008C5EEB">
        <w:rPr>
          <w:rFonts w:ascii="Verdana" w:hAnsi="Verdana"/>
          <w:sz w:val="24"/>
          <w:szCs w:val="24"/>
        </w:rPr>
        <w:t>.</w:t>
      </w:r>
      <w:r w:rsidR="00FB23C1">
        <w:rPr>
          <w:rFonts w:ascii="Verdana" w:hAnsi="Verdana"/>
          <w:sz w:val="24"/>
          <w:szCs w:val="24"/>
        </w:rPr>
        <w:t xml:space="preserve">  At Under Armour, the Company recorded a $3.3 million gain on the acquisition of $63.8 million in land, building, tenant improvements and </w:t>
      </w:r>
      <w:r w:rsidR="00075BFB">
        <w:rPr>
          <w:rFonts w:ascii="Verdana" w:hAnsi="Verdana"/>
          <w:sz w:val="24"/>
          <w:szCs w:val="24"/>
        </w:rPr>
        <w:t>thir</w:t>
      </w:r>
      <w:r w:rsidR="00FB23C1">
        <w:rPr>
          <w:rFonts w:ascii="Verdana" w:hAnsi="Verdana"/>
          <w:sz w:val="24"/>
          <w:szCs w:val="24"/>
        </w:rPr>
        <w:t>d party lease-related intangible assets (</w:t>
      </w:r>
      <w:hyperlink r:id="rId9" w:history="1">
        <w:r w:rsidR="00FB23C1" w:rsidRPr="007B26C2">
          <w:rPr>
            <w:rStyle w:val="Hyperlink"/>
            <w:rFonts w:ascii="Verdana" w:hAnsi="Verdana"/>
            <w:sz w:val="24"/>
            <w:szCs w:val="24"/>
          </w:rPr>
          <w:t>see Annual Report, note 4, page</w:t>
        </w:r>
        <w:r w:rsidR="006250C5" w:rsidRPr="007B26C2">
          <w:rPr>
            <w:rStyle w:val="Hyperlink"/>
            <w:rFonts w:ascii="Verdana" w:hAnsi="Verdana"/>
            <w:sz w:val="24"/>
            <w:szCs w:val="24"/>
          </w:rPr>
          <w:t>s</w:t>
        </w:r>
        <w:r w:rsidR="00FB23C1" w:rsidRPr="007B26C2">
          <w:rPr>
            <w:rStyle w:val="Hyperlink"/>
            <w:rFonts w:ascii="Verdana" w:hAnsi="Verdana"/>
            <w:sz w:val="24"/>
            <w:szCs w:val="24"/>
          </w:rPr>
          <w:t xml:space="preserve"> 56</w:t>
        </w:r>
        <w:r w:rsidR="006250C5" w:rsidRPr="007B26C2">
          <w:rPr>
            <w:rStyle w:val="Hyperlink"/>
            <w:rFonts w:ascii="Verdana" w:hAnsi="Verdana"/>
            <w:sz w:val="24"/>
            <w:szCs w:val="24"/>
          </w:rPr>
          <w:t xml:space="preserve"> and 57</w:t>
        </w:r>
        <w:r w:rsidR="00FB23C1" w:rsidRPr="007B26C2">
          <w:rPr>
            <w:rStyle w:val="Hyperlink"/>
            <w:rFonts w:ascii="Verdana" w:hAnsi="Verdana"/>
            <w:sz w:val="24"/>
            <w:szCs w:val="24"/>
          </w:rPr>
          <w:t xml:space="preserve"> for details</w:t>
        </w:r>
      </w:hyperlink>
      <w:r w:rsidR="00FB23C1">
        <w:rPr>
          <w:rFonts w:ascii="Verdana" w:hAnsi="Verdana"/>
          <w:sz w:val="24"/>
          <w:szCs w:val="24"/>
        </w:rPr>
        <w:t>)</w:t>
      </w:r>
      <w:r w:rsidR="006250C5">
        <w:rPr>
          <w:rFonts w:ascii="Verdana" w:hAnsi="Verdana"/>
          <w:sz w:val="24"/>
          <w:szCs w:val="24"/>
        </w:rPr>
        <w:t xml:space="preserve"> for a purchase price of $60.5 million. The purchase price consisted of the assumption of a $38.6 million loan and cash of $21.9 million.  Under Armour explained its great fortune in the following way:</w:t>
      </w:r>
    </w:p>
    <w:p w:rsidR="006250C5" w:rsidRDefault="006250C5" w:rsidP="00FB23C1">
      <w:pPr>
        <w:rPr>
          <w:rFonts w:ascii="Verdana" w:hAnsi="Verdana"/>
          <w:sz w:val="24"/>
          <w:szCs w:val="24"/>
        </w:rPr>
      </w:pPr>
    </w:p>
    <w:p w:rsidR="006250C5" w:rsidRPr="006250C5" w:rsidRDefault="006250C5" w:rsidP="006250C5">
      <w:pPr>
        <w:ind w:left="720" w:right="720"/>
        <w:rPr>
          <w:rFonts w:ascii="Verdana" w:hAnsi="Verdana"/>
          <w:i/>
          <w:sz w:val="24"/>
          <w:szCs w:val="24"/>
        </w:rPr>
      </w:pPr>
      <w:r w:rsidRPr="006250C5">
        <w:rPr>
          <w:rFonts w:ascii="Verdana" w:hAnsi="Verdana"/>
          <w:i/>
          <w:sz w:val="24"/>
          <w:szCs w:val="24"/>
        </w:rPr>
        <w:t xml:space="preserve">The Company believes that it was able to negotiate the acquisition of the net assets for less than fair value because the </w:t>
      </w:r>
      <w:r w:rsidRPr="006250C5">
        <w:rPr>
          <w:rFonts w:ascii="Verdana" w:hAnsi="Verdana"/>
          <w:i/>
          <w:sz w:val="24"/>
          <w:szCs w:val="24"/>
        </w:rPr>
        <w:lastRenderedPageBreak/>
        <w:t>seller marketed the property in a limited manner, and thus the property did not have adequate exposure to the market prior to the measurement date to allow for marketing activities that are usual and customary for real estate transactions.</w:t>
      </w:r>
    </w:p>
    <w:p w:rsidR="008C5EEB" w:rsidRDefault="008C5EEB" w:rsidP="00FB23C1">
      <w:pPr>
        <w:rPr>
          <w:rFonts w:ascii="Verdana" w:hAnsi="Verdana"/>
          <w:sz w:val="24"/>
          <w:szCs w:val="24"/>
        </w:rPr>
      </w:pPr>
    </w:p>
    <w:p w:rsidR="008C5EEB" w:rsidRDefault="006250C5" w:rsidP="00FB23C1">
      <w:pPr>
        <w:rPr>
          <w:rFonts w:ascii="Verdana" w:hAnsi="Verdana"/>
          <w:sz w:val="24"/>
          <w:szCs w:val="24"/>
        </w:rPr>
      </w:pPr>
      <w:r>
        <w:rPr>
          <w:rFonts w:ascii="Verdana" w:hAnsi="Verdana"/>
          <w:sz w:val="24"/>
          <w:szCs w:val="24"/>
        </w:rPr>
        <w:t>Ah, we should have guessed…the lazy seller explanation!  And if</w:t>
      </w:r>
      <w:r w:rsidR="00430103">
        <w:rPr>
          <w:rFonts w:ascii="Verdana" w:hAnsi="Verdana"/>
          <w:sz w:val="24"/>
          <w:szCs w:val="24"/>
        </w:rPr>
        <w:t xml:space="preserve">, booking this gain is not enough to make your skin crawl, guess where it was </w:t>
      </w:r>
      <w:r w:rsidR="009431B5">
        <w:rPr>
          <w:rFonts w:ascii="Verdana" w:hAnsi="Verdana"/>
          <w:sz w:val="24"/>
          <w:szCs w:val="24"/>
        </w:rPr>
        <w:t>buried</w:t>
      </w:r>
      <w:r w:rsidR="00430103">
        <w:rPr>
          <w:rFonts w:ascii="Verdana" w:hAnsi="Verdana"/>
          <w:sz w:val="24"/>
          <w:szCs w:val="24"/>
        </w:rPr>
        <w:t xml:space="preserve"> in the Company’s income statement?  You don’t really have that many choices with Under Armour given the limited P&amp;L detail that the Company provides, but if you had guessed “selling, general and administrative expenses,” you would be correct (see Annual Report page 39).  Why there?  To get the gain in income from operations, of course.  Last time we checked, Under Armour was in the business of selling sports apparel, not buying and selling real estate</w:t>
      </w:r>
      <w:r w:rsidR="00075BFB">
        <w:rPr>
          <w:rFonts w:ascii="Verdana" w:hAnsi="Verdana"/>
          <w:sz w:val="24"/>
          <w:szCs w:val="24"/>
        </w:rPr>
        <w:t>.</w:t>
      </w:r>
    </w:p>
    <w:p w:rsidR="00075BFB" w:rsidRDefault="00075BFB" w:rsidP="00FB23C1">
      <w:pPr>
        <w:rPr>
          <w:rFonts w:ascii="Verdana" w:hAnsi="Verdana"/>
          <w:sz w:val="24"/>
          <w:szCs w:val="24"/>
        </w:rPr>
      </w:pPr>
    </w:p>
    <w:p w:rsidR="008C5EEB" w:rsidRDefault="006B5C71" w:rsidP="00FB23C1">
      <w:pPr>
        <w:rPr>
          <w:rFonts w:ascii="Verdana" w:hAnsi="Verdana"/>
          <w:sz w:val="24"/>
          <w:szCs w:val="24"/>
        </w:rPr>
      </w:pPr>
      <w:r>
        <w:rPr>
          <w:rFonts w:ascii="Verdana" w:hAnsi="Verdana"/>
          <w:sz w:val="24"/>
          <w:szCs w:val="24"/>
        </w:rPr>
        <w:t xml:space="preserve">Then, there is the case of </w:t>
      </w:r>
      <w:hyperlink r:id="rId10" w:history="1">
        <w:r w:rsidRPr="00B86A44">
          <w:rPr>
            <w:rStyle w:val="Hyperlink"/>
            <w:rFonts w:ascii="Verdana" w:hAnsi="Verdana"/>
            <w:sz w:val="24"/>
            <w:szCs w:val="24"/>
          </w:rPr>
          <w:t>Cenveo</w:t>
        </w:r>
      </w:hyperlink>
      <w:r>
        <w:rPr>
          <w:rFonts w:ascii="Verdana" w:hAnsi="Verdana"/>
          <w:sz w:val="24"/>
          <w:szCs w:val="24"/>
        </w:rPr>
        <w:t xml:space="preserve"> which reported a $11.7 million gain on its acquisition of Envelope Product Group, in a year where it recorded a net loss of $8.6 million.  Cenveo acquired net assets of $66.9 million for a purchase price of $55.2 million to trigger the “gain.”  According to the Company:</w:t>
      </w:r>
    </w:p>
    <w:p w:rsidR="006B5C71" w:rsidRDefault="006B5C71" w:rsidP="00FB23C1">
      <w:pPr>
        <w:rPr>
          <w:rFonts w:ascii="Verdana" w:hAnsi="Verdana"/>
          <w:sz w:val="24"/>
          <w:szCs w:val="24"/>
        </w:rPr>
      </w:pPr>
    </w:p>
    <w:p w:rsidR="006B5C71" w:rsidRPr="00227D08" w:rsidRDefault="00227D08" w:rsidP="00227D08">
      <w:pPr>
        <w:ind w:left="720" w:right="720"/>
        <w:rPr>
          <w:rFonts w:ascii="Verdana" w:hAnsi="Verdana"/>
          <w:i/>
          <w:sz w:val="24"/>
          <w:szCs w:val="24"/>
        </w:rPr>
      </w:pPr>
      <w:r>
        <w:rPr>
          <w:rFonts w:ascii="Verdana" w:hAnsi="Verdana"/>
          <w:i/>
          <w:sz w:val="24"/>
          <w:szCs w:val="24"/>
        </w:rPr>
        <w:t>I</w:t>
      </w:r>
      <w:r w:rsidRPr="00227D08">
        <w:rPr>
          <w:rFonts w:ascii="Verdana" w:hAnsi="Verdana"/>
          <w:i/>
          <w:sz w:val="24"/>
          <w:szCs w:val="24"/>
        </w:rPr>
        <w:t>t was able to acquire EPG for less than the fair value of its net assets due to its operating results prior to the Company's acquisition and given its parent company's desire to exit a non-core business.</w:t>
      </w:r>
    </w:p>
    <w:p w:rsidR="006B5C71" w:rsidRDefault="006B5C71" w:rsidP="00FB23C1">
      <w:pPr>
        <w:rPr>
          <w:rFonts w:ascii="Verdana" w:hAnsi="Verdana"/>
          <w:sz w:val="24"/>
          <w:szCs w:val="24"/>
        </w:rPr>
      </w:pPr>
    </w:p>
    <w:p w:rsidR="006B5C71" w:rsidRDefault="00227D08" w:rsidP="00FB23C1">
      <w:pPr>
        <w:rPr>
          <w:rFonts w:ascii="Verdana" w:hAnsi="Verdana"/>
          <w:sz w:val="24"/>
          <w:szCs w:val="24"/>
        </w:rPr>
      </w:pPr>
      <w:r>
        <w:rPr>
          <w:rFonts w:ascii="Verdana" w:hAnsi="Verdana"/>
          <w:sz w:val="24"/>
          <w:szCs w:val="24"/>
        </w:rPr>
        <w:t>Unlike Under Armour, at least Cenveo had the accounting sense to report the “gain” outside of operating income in its own income statement line item.</w:t>
      </w:r>
    </w:p>
    <w:p w:rsidR="00123C93" w:rsidRDefault="00123C93" w:rsidP="00FB23C1">
      <w:pPr>
        <w:rPr>
          <w:rFonts w:ascii="Verdana" w:hAnsi="Verdana"/>
          <w:sz w:val="24"/>
          <w:szCs w:val="24"/>
        </w:rPr>
      </w:pPr>
    </w:p>
    <w:p w:rsidR="00FC02CB" w:rsidRDefault="00D62A5E" w:rsidP="00FB23C1">
      <w:pPr>
        <w:rPr>
          <w:rFonts w:ascii="Verdana" w:hAnsi="Verdana"/>
          <w:sz w:val="24"/>
          <w:szCs w:val="24"/>
        </w:rPr>
      </w:pPr>
      <w:r>
        <w:rPr>
          <w:rFonts w:ascii="Verdana" w:hAnsi="Verdana"/>
          <w:sz w:val="24"/>
          <w:szCs w:val="24"/>
        </w:rPr>
        <w:t>And t</w:t>
      </w:r>
      <w:r w:rsidR="00075BFB">
        <w:rPr>
          <w:rFonts w:ascii="Verdana" w:hAnsi="Verdana"/>
          <w:sz w:val="24"/>
          <w:szCs w:val="24"/>
        </w:rPr>
        <w:t xml:space="preserve">he banking industry paid </w:t>
      </w:r>
      <w:r>
        <w:rPr>
          <w:rFonts w:ascii="Verdana" w:hAnsi="Verdana"/>
          <w:sz w:val="24"/>
          <w:szCs w:val="24"/>
        </w:rPr>
        <w:t xml:space="preserve">great </w:t>
      </w:r>
      <w:r w:rsidR="00075BFB">
        <w:rPr>
          <w:rFonts w:ascii="Verdana" w:hAnsi="Verdana"/>
          <w:sz w:val="24"/>
          <w:szCs w:val="24"/>
        </w:rPr>
        <w:t>attention to the details</w:t>
      </w:r>
      <w:r w:rsidR="000F5D26">
        <w:rPr>
          <w:rFonts w:ascii="Verdana" w:hAnsi="Verdana"/>
          <w:sz w:val="24"/>
          <w:szCs w:val="24"/>
        </w:rPr>
        <w:t xml:space="preserve"> in FASB’s statement</w:t>
      </w:r>
      <w:r>
        <w:rPr>
          <w:rFonts w:ascii="Verdana" w:hAnsi="Verdana"/>
          <w:sz w:val="24"/>
          <w:szCs w:val="24"/>
        </w:rPr>
        <w:t xml:space="preserve">, having </w:t>
      </w:r>
      <w:r w:rsidR="000F5D26">
        <w:rPr>
          <w:rFonts w:ascii="Verdana" w:hAnsi="Verdana"/>
          <w:sz w:val="24"/>
          <w:szCs w:val="24"/>
        </w:rPr>
        <w:t xml:space="preserve">structured a number of these transactions.  </w:t>
      </w:r>
      <w:r>
        <w:rPr>
          <w:rFonts w:ascii="Verdana" w:hAnsi="Verdana"/>
          <w:sz w:val="24"/>
          <w:szCs w:val="24"/>
        </w:rPr>
        <w:t>Here are so</w:t>
      </w:r>
      <w:r w:rsidR="000F5D26">
        <w:rPr>
          <w:rFonts w:ascii="Verdana" w:hAnsi="Verdana"/>
          <w:sz w:val="24"/>
          <w:szCs w:val="24"/>
        </w:rPr>
        <w:t xml:space="preserve">me recent examples of </w:t>
      </w:r>
      <w:r w:rsidR="00075BFB">
        <w:rPr>
          <w:rFonts w:ascii="Verdana" w:hAnsi="Verdana"/>
          <w:sz w:val="24"/>
          <w:szCs w:val="24"/>
        </w:rPr>
        <w:t xml:space="preserve">banks </w:t>
      </w:r>
      <w:r w:rsidR="000F5D26">
        <w:rPr>
          <w:rFonts w:ascii="Verdana" w:hAnsi="Verdana"/>
          <w:sz w:val="24"/>
          <w:szCs w:val="24"/>
        </w:rPr>
        <w:t xml:space="preserve">that </w:t>
      </w:r>
      <w:r w:rsidR="00075BFB">
        <w:rPr>
          <w:rFonts w:ascii="Verdana" w:hAnsi="Verdana"/>
          <w:sz w:val="24"/>
          <w:szCs w:val="24"/>
        </w:rPr>
        <w:t>participated in this bonanza, as disclosed in recent quarterly reports</w:t>
      </w:r>
      <w:r w:rsidR="00841C01">
        <w:rPr>
          <w:rFonts w:ascii="Verdana" w:hAnsi="Verdana"/>
          <w:sz w:val="24"/>
          <w:szCs w:val="24"/>
        </w:rPr>
        <w:t xml:space="preserve"> and earnings announcements</w:t>
      </w:r>
      <w:r w:rsidR="00FC02CB">
        <w:rPr>
          <w:rFonts w:ascii="Verdana" w:hAnsi="Verdana"/>
          <w:sz w:val="24"/>
          <w:szCs w:val="24"/>
        </w:rPr>
        <w:t xml:space="preserve">: </w:t>
      </w:r>
      <w:r>
        <w:rPr>
          <w:rFonts w:ascii="Verdana" w:hAnsi="Verdana"/>
          <w:sz w:val="24"/>
          <w:szCs w:val="24"/>
        </w:rPr>
        <w:br/>
      </w:r>
    </w:p>
    <w:p w:rsidR="00D62A5E" w:rsidRDefault="008B6872" w:rsidP="00FC02CB">
      <w:pPr>
        <w:pStyle w:val="ListParagraph"/>
        <w:numPr>
          <w:ilvl w:val="0"/>
          <w:numId w:val="27"/>
        </w:numPr>
        <w:rPr>
          <w:rFonts w:ascii="Verdana" w:hAnsi="Verdana"/>
          <w:sz w:val="24"/>
          <w:szCs w:val="24"/>
        </w:rPr>
      </w:pPr>
      <w:hyperlink r:id="rId11" w:history="1">
        <w:r w:rsidR="00D62A5E" w:rsidRPr="007B7557">
          <w:rPr>
            <w:rStyle w:val="Hyperlink"/>
            <w:rFonts w:ascii="Verdana" w:hAnsi="Verdana"/>
            <w:sz w:val="24"/>
            <w:szCs w:val="24"/>
          </w:rPr>
          <w:t>Capital One</w:t>
        </w:r>
      </w:hyperlink>
      <w:r w:rsidR="00D62A5E" w:rsidRPr="00FC02CB">
        <w:rPr>
          <w:rFonts w:ascii="Verdana" w:hAnsi="Verdana"/>
          <w:sz w:val="24"/>
          <w:szCs w:val="24"/>
        </w:rPr>
        <w:t xml:space="preserve"> </w:t>
      </w:r>
      <w:r w:rsidR="00D62A5E">
        <w:rPr>
          <w:rFonts w:ascii="Verdana" w:hAnsi="Verdana"/>
          <w:sz w:val="24"/>
          <w:szCs w:val="24"/>
        </w:rPr>
        <w:t>had a bargain purchase gain of $594 million when it acquired ING Direct;</w:t>
      </w:r>
      <w:r w:rsidR="00D62A5E">
        <w:rPr>
          <w:rFonts w:ascii="Verdana" w:hAnsi="Verdana"/>
          <w:sz w:val="24"/>
          <w:szCs w:val="24"/>
        </w:rPr>
        <w:br/>
      </w:r>
    </w:p>
    <w:p w:rsidR="00FC02CB" w:rsidRDefault="008B6872" w:rsidP="00FC02CB">
      <w:pPr>
        <w:pStyle w:val="ListParagraph"/>
        <w:numPr>
          <w:ilvl w:val="0"/>
          <w:numId w:val="27"/>
        </w:numPr>
        <w:rPr>
          <w:rFonts w:ascii="Verdana" w:hAnsi="Verdana"/>
          <w:sz w:val="24"/>
          <w:szCs w:val="24"/>
        </w:rPr>
      </w:pPr>
      <w:hyperlink r:id="rId12" w:history="1">
        <w:r w:rsidR="00FC02CB" w:rsidRPr="007B7557">
          <w:rPr>
            <w:rStyle w:val="Hyperlink"/>
            <w:rFonts w:ascii="Verdana" w:hAnsi="Verdana"/>
            <w:sz w:val="24"/>
            <w:szCs w:val="24"/>
          </w:rPr>
          <w:t>Republic Bankcorp</w:t>
        </w:r>
      </w:hyperlink>
      <w:r w:rsidR="00FC02CB" w:rsidRPr="00FC02CB">
        <w:rPr>
          <w:rFonts w:ascii="Verdana" w:hAnsi="Verdana"/>
          <w:sz w:val="24"/>
          <w:szCs w:val="24"/>
        </w:rPr>
        <w:t xml:space="preserve"> enjoyed a gain of $28 million on its purchase of Tennessee Commerce Bank and has expressed an interest in obtaining more bargain purchases of failed banks;</w:t>
      </w:r>
      <w:r w:rsidR="00D62A5E">
        <w:rPr>
          <w:rFonts w:ascii="Verdana" w:hAnsi="Verdana"/>
          <w:sz w:val="24"/>
          <w:szCs w:val="24"/>
        </w:rPr>
        <w:br/>
      </w:r>
    </w:p>
    <w:p w:rsidR="00484C49" w:rsidRPr="00FC02CB" w:rsidRDefault="008B6872" w:rsidP="00FC02CB">
      <w:pPr>
        <w:pStyle w:val="ListParagraph"/>
        <w:numPr>
          <w:ilvl w:val="0"/>
          <w:numId w:val="27"/>
        </w:numPr>
        <w:rPr>
          <w:rFonts w:ascii="Verdana" w:hAnsi="Verdana"/>
          <w:sz w:val="24"/>
          <w:szCs w:val="24"/>
        </w:rPr>
      </w:pPr>
      <w:hyperlink r:id="rId13" w:history="1">
        <w:r w:rsidR="00171E70" w:rsidRPr="00171E70">
          <w:rPr>
            <w:rStyle w:val="Hyperlink"/>
            <w:rFonts w:ascii="Verdana" w:hAnsi="Verdana"/>
            <w:sz w:val="24"/>
            <w:szCs w:val="24"/>
          </w:rPr>
          <w:t>Pacific Premier Bancorp</w:t>
        </w:r>
      </w:hyperlink>
      <w:r w:rsidR="00171E70">
        <w:rPr>
          <w:rFonts w:ascii="Verdana" w:hAnsi="Verdana"/>
          <w:sz w:val="24"/>
          <w:szCs w:val="24"/>
        </w:rPr>
        <w:t xml:space="preserve"> had a purchase gain of $5 million because of its acquisition of Palm Desert National Bank.</w:t>
      </w:r>
    </w:p>
    <w:p w:rsidR="00075BFB" w:rsidRDefault="00075BFB" w:rsidP="00FB23C1">
      <w:pPr>
        <w:rPr>
          <w:rFonts w:ascii="Verdana" w:hAnsi="Verdana"/>
          <w:sz w:val="24"/>
          <w:szCs w:val="24"/>
        </w:rPr>
      </w:pPr>
    </w:p>
    <w:p w:rsidR="00484C49" w:rsidRDefault="008B6872" w:rsidP="0020787C">
      <w:pPr>
        <w:rPr>
          <w:rFonts w:ascii="Verdana" w:hAnsi="Verdana"/>
          <w:sz w:val="24"/>
          <w:szCs w:val="24"/>
        </w:rPr>
      </w:pPr>
      <w:hyperlink r:id="rId14" w:history="1">
        <w:r w:rsidR="00484C49" w:rsidRPr="008919AF">
          <w:rPr>
            <w:rStyle w:val="Hyperlink"/>
            <w:rFonts w:ascii="Verdana" w:hAnsi="Verdana"/>
            <w:sz w:val="24"/>
            <w:szCs w:val="24"/>
          </w:rPr>
          <w:t>Aarti Kanjani claims</w:t>
        </w:r>
      </w:hyperlink>
      <w:r w:rsidR="00484C49">
        <w:rPr>
          <w:rFonts w:ascii="Verdana" w:hAnsi="Verdana"/>
          <w:sz w:val="24"/>
          <w:szCs w:val="24"/>
        </w:rPr>
        <w:t xml:space="preserve"> that </w:t>
      </w:r>
      <w:r w:rsidR="008919AF">
        <w:rPr>
          <w:rFonts w:ascii="Verdana" w:hAnsi="Verdana"/>
          <w:sz w:val="24"/>
          <w:szCs w:val="24"/>
        </w:rPr>
        <w:t xml:space="preserve">since 2010 banks have reported at least $1.6 billion of bargain purchase gains.  Indeed, some opportunists are advertising their </w:t>
      </w:r>
      <w:r w:rsidR="00BC6D20">
        <w:rPr>
          <w:rFonts w:ascii="Verdana" w:hAnsi="Verdana"/>
          <w:sz w:val="24"/>
          <w:szCs w:val="24"/>
        </w:rPr>
        <w:t xml:space="preserve">services </w:t>
      </w:r>
      <w:r w:rsidR="008919AF">
        <w:rPr>
          <w:rFonts w:ascii="Verdana" w:hAnsi="Verdana"/>
          <w:sz w:val="24"/>
          <w:szCs w:val="24"/>
        </w:rPr>
        <w:t>for those who would like to take pleasure in these gains</w:t>
      </w:r>
      <w:r w:rsidR="00B86A44">
        <w:rPr>
          <w:rFonts w:ascii="Verdana" w:hAnsi="Verdana"/>
          <w:sz w:val="24"/>
          <w:szCs w:val="24"/>
        </w:rPr>
        <w:t>.</w:t>
      </w:r>
    </w:p>
    <w:p w:rsidR="00FC02CB" w:rsidRDefault="00FC02CB" w:rsidP="0020787C">
      <w:pPr>
        <w:rPr>
          <w:rFonts w:ascii="Verdana" w:hAnsi="Verdana"/>
          <w:sz w:val="24"/>
          <w:szCs w:val="24"/>
        </w:rPr>
      </w:pPr>
    </w:p>
    <w:p w:rsidR="00123C93" w:rsidRDefault="00123C93" w:rsidP="0020787C">
      <w:pPr>
        <w:rPr>
          <w:rFonts w:ascii="Verdana" w:hAnsi="Verdana"/>
          <w:sz w:val="24"/>
          <w:szCs w:val="24"/>
        </w:rPr>
      </w:pPr>
      <w:r>
        <w:rPr>
          <w:rFonts w:ascii="Verdana" w:hAnsi="Verdana"/>
          <w:sz w:val="24"/>
          <w:szCs w:val="24"/>
        </w:rPr>
        <w:t xml:space="preserve">So, why is this latest “accounting gimmicky” taking hold?  Very simply, managers are allowed to set the values of the assets that they buy.  If an acquirer believes that the purchased assets are worth more than the amount paid, then management gets to book the difference as a gain.  </w:t>
      </w:r>
      <w:r w:rsidRPr="00123C93">
        <w:rPr>
          <w:rFonts w:ascii="Verdana" w:hAnsi="Verdana"/>
          <w:i/>
          <w:sz w:val="24"/>
          <w:szCs w:val="24"/>
        </w:rPr>
        <w:t>This is giving us flashbacks to the days of the Savings and Loan Crisis of the 1980’s, when thrifts debited loan assets and credited income from loan fees on speculative real estate development loans!</w:t>
      </w:r>
      <w:r>
        <w:rPr>
          <w:rFonts w:ascii="Verdana" w:hAnsi="Verdana"/>
          <w:i/>
          <w:sz w:val="24"/>
          <w:szCs w:val="24"/>
        </w:rPr>
        <w:t xml:space="preserve"> </w:t>
      </w:r>
      <w:r>
        <w:rPr>
          <w:rFonts w:ascii="Verdana" w:hAnsi="Verdana"/>
          <w:sz w:val="24"/>
          <w:szCs w:val="24"/>
        </w:rPr>
        <w:t xml:space="preserve">Of course, we are probably the only ones </w:t>
      </w:r>
      <w:r w:rsidR="00B80DF5">
        <w:rPr>
          <w:rFonts w:ascii="Verdana" w:hAnsi="Verdana"/>
          <w:sz w:val="24"/>
          <w:szCs w:val="24"/>
        </w:rPr>
        <w:t>who</w:t>
      </w:r>
      <w:r>
        <w:rPr>
          <w:rFonts w:ascii="Verdana" w:hAnsi="Verdana"/>
          <w:sz w:val="24"/>
          <w:szCs w:val="24"/>
        </w:rPr>
        <w:t xml:space="preserve"> remember those days…</w:t>
      </w:r>
    </w:p>
    <w:p w:rsidR="00123C93" w:rsidRDefault="00123C93" w:rsidP="0020787C">
      <w:pPr>
        <w:rPr>
          <w:rFonts w:ascii="Verdana" w:hAnsi="Verdana"/>
          <w:sz w:val="24"/>
          <w:szCs w:val="24"/>
        </w:rPr>
      </w:pPr>
    </w:p>
    <w:p w:rsidR="00123C93" w:rsidRDefault="00123C93" w:rsidP="0020787C">
      <w:pPr>
        <w:rPr>
          <w:rFonts w:ascii="Verdana" w:hAnsi="Verdana"/>
          <w:sz w:val="24"/>
          <w:szCs w:val="24"/>
        </w:rPr>
      </w:pPr>
      <w:r>
        <w:rPr>
          <w:rFonts w:ascii="Verdana" w:hAnsi="Verdana"/>
          <w:sz w:val="24"/>
          <w:szCs w:val="24"/>
        </w:rPr>
        <w:t>The FASB needs to wake up on this issue…it screwed up</w:t>
      </w:r>
      <w:r w:rsidR="00F33E59">
        <w:rPr>
          <w:rFonts w:ascii="Verdana" w:hAnsi="Verdana"/>
          <w:sz w:val="24"/>
          <w:szCs w:val="24"/>
        </w:rPr>
        <w:t xml:space="preserve"> in allowing the gain to be booked as part of income from continuing operations</w:t>
      </w:r>
      <w:r>
        <w:rPr>
          <w:rFonts w:ascii="Verdana" w:hAnsi="Verdana"/>
          <w:sz w:val="24"/>
          <w:szCs w:val="24"/>
        </w:rPr>
        <w:t>.  In paragraph 36 of SFAS No. 141(R), it acknowledged that bargain purchases were not routine or common, when it used the word “occasionally” to describe their frequency.</w:t>
      </w:r>
      <w:r w:rsidR="00F33E59">
        <w:rPr>
          <w:rFonts w:ascii="Verdana" w:hAnsi="Verdana"/>
          <w:sz w:val="24"/>
          <w:szCs w:val="24"/>
        </w:rPr>
        <w:t xml:space="preserve">  We believe that “extraordinary gain” treatment would greatly improve transparency for such gains since they clearly meet the “unusual” and “infrequent” criteria.  This might also reduce management incentives to play the bargain purchase “game” since any gains would be highlighted as extraordinary, clearly outside of operating income.  We would like to point out that this was how the gain was reported prior to SFAS No. 141(R).  </w:t>
      </w:r>
    </w:p>
    <w:p w:rsidR="00FA4EC8" w:rsidRDefault="00FA4EC8" w:rsidP="0020787C">
      <w:pPr>
        <w:rPr>
          <w:rFonts w:ascii="Verdana" w:hAnsi="Verdana"/>
          <w:sz w:val="24"/>
          <w:szCs w:val="24"/>
        </w:rPr>
      </w:pPr>
    </w:p>
    <w:p w:rsidR="00FA4EC8" w:rsidRDefault="00FA4EC8" w:rsidP="0020787C">
      <w:pPr>
        <w:rPr>
          <w:rFonts w:ascii="Verdana" w:hAnsi="Verdana"/>
          <w:sz w:val="24"/>
          <w:szCs w:val="24"/>
        </w:rPr>
      </w:pPr>
      <w:r>
        <w:rPr>
          <w:rFonts w:ascii="Verdana" w:hAnsi="Verdana"/>
          <w:sz w:val="24"/>
          <w:szCs w:val="24"/>
        </w:rPr>
        <w:t>Alternatively, maybe the FASB should rethink its indulgence of fair value measurements, especially those not associated with a market value.  These measurements allow managers to fulfill their dreams, especially as they are essentially unauditable.</w:t>
      </w:r>
    </w:p>
    <w:p w:rsidR="00F33E59" w:rsidRDefault="00F33E59" w:rsidP="0020787C">
      <w:pPr>
        <w:rPr>
          <w:rFonts w:ascii="Verdana" w:hAnsi="Verdana"/>
          <w:sz w:val="24"/>
          <w:szCs w:val="24"/>
        </w:rPr>
      </w:pPr>
    </w:p>
    <w:p w:rsidR="00F33E59" w:rsidRDefault="00F33E59" w:rsidP="0020787C">
      <w:pPr>
        <w:rPr>
          <w:rFonts w:ascii="Verdana" w:hAnsi="Verdana"/>
          <w:sz w:val="24"/>
          <w:szCs w:val="24"/>
        </w:rPr>
      </w:pPr>
      <w:r>
        <w:rPr>
          <w:rFonts w:ascii="Verdana" w:hAnsi="Verdana"/>
          <w:sz w:val="24"/>
          <w:szCs w:val="24"/>
        </w:rPr>
        <w:t>At the risk of boring our readers with a bit of logic and theory, does it really make sense that income can result from simply the purchase of assets, rather than their</w:t>
      </w:r>
      <w:r w:rsidR="009431B5">
        <w:rPr>
          <w:rFonts w:ascii="Verdana" w:hAnsi="Verdana"/>
          <w:sz w:val="24"/>
          <w:szCs w:val="24"/>
        </w:rPr>
        <w:t xml:space="preserve"> actual</w:t>
      </w:r>
      <w:r>
        <w:rPr>
          <w:rFonts w:ascii="Verdana" w:hAnsi="Verdana"/>
          <w:sz w:val="24"/>
          <w:szCs w:val="24"/>
        </w:rPr>
        <w:t xml:space="preserve"> use?  Not to us.</w:t>
      </w:r>
    </w:p>
    <w:p w:rsidR="00F33E59" w:rsidRDefault="00F33E59" w:rsidP="0020787C">
      <w:pPr>
        <w:rPr>
          <w:rFonts w:ascii="Verdana" w:hAnsi="Verdana"/>
          <w:sz w:val="24"/>
          <w:szCs w:val="24"/>
        </w:rPr>
      </w:pPr>
    </w:p>
    <w:p w:rsidR="00F33E59" w:rsidRPr="00123C93" w:rsidRDefault="00F33E59" w:rsidP="0020787C">
      <w:pPr>
        <w:rPr>
          <w:rFonts w:ascii="Verdana" w:hAnsi="Verdana"/>
          <w:sz w:val="24"/>
          <w:szCs w:val="24"/>
        </w:rPr>
      </w:pPr>
      <w:r>
        <w:rPr>
          <w:rFonts w:ascii="Verdana" w:hAnsi="Verdana"/>
          <w:sz w:val="24"/>
          <w:szCs w:val="24"/>
        </w:rPr>
        <w:t>And</w:t>
      </w:r>
      <w:r w:rsidR="00A92B56">
        <w:rPr>
          <w:rFonts w:ascii="Verdana" w:hAnsi="Verdana"/>
          <w:sz w:val="24"/>
          <w:szCs w:val="24"/>
        </w:rPr>
        <w:t xml:space="preserve"> then there is the issue of reporting symmetry.  How is it that negative goodwill is immediately recorded as income, but positive goodwill is NOT expensed, but recorded as an asset? GOTCHA!  </w:t>
      </w:r>
      <w:r w:rsidR="00FA4EC8">
        <w:rPr>
          <w:rFonts w:ascii="Verdana" w:hAnsi="Verdana"/>
          <w:sz w:val="24"/>
          <w:szCs w:val="24"/>
        </w:rPr>
        <w:t>As Walter Schuetze pointed out years ago, goodwill isn’t much of an asset since you cannot sell it</w:t>
      </w:r>
      <w:r w:rsidR="00A92B56">
        <w:rPr>
          <w:rFonts w:ascii="Verdana" w:hAnsi="Verdana"/>
          <w:sz w:val="24"/>
          <w:szCs w:val="24"/>
        </w:rPr>
        <w:t xml:space="preserve"> (see “</w:t>
      </w:r>
      <w:hyperlink r:id="rId15" w:history="1">
        <w:r w:rsidR="00A92B56" w:rsidRPr="00A92B56">
          <w:rPr>
            <w:rStyle w:val="Hyperlink"/>
            <w:rFonts w:ascii="Verdana" w:hAnsi="Verdana"/>
            <w:sz w:val="24"/>
            <w:szCs w:val="24"/>
          </w:rPr>
          <w:t>Goodwill Games</w:t>
        </w:r>
      </w:hyperlink>
      <w:r w:rsidR="00A92B56">
        <w:rPr>
          <w:rFonts w:ascii="Verdana" w:hAnsi="Verdana"/>
          <w:sz w:val="24"/>
          <w:szCs w:val="24"/>
        </w:rPr>
        <w:t>”).</w:t>
      </w:r>
    </w:p>
    <w:p w:rsidR="006B5C71" w:rsidRDefault="006B5C71" w:rsidP="0020787C">
      <w:pPr>
        <w:rPr>
          <w:rFonts w:ascii="Verdana" w:hAnsi="Verdana"/>
          <w:sz w:val="24"/>
          <w:szCs w:val="24"/>
        </w:rPr>
      </w:pPr>
    </w:p>
    <w:p w:rsidR="00FB23C1" w:rsidRDefault="00A92B56" w:rsidP="0020787C">
      <w:pPr>
        <w:rPr>
          <w:rFonts w:ascii="Verdana" w:hAnsi="Verdana"/>
          <w:sz w:val="24"/>
          <w:szCs w:val="24"/>
        </w:rPr>
      </w:pPr>
      <w:r>
        <w:rPr>
          <w:rFonts w:ascii="Verdana" w:hAnsi="Verdana"/>
          <w:sz w:val="24"/>
          <w:szCs w:val="24"/>
        </w:rPr>
        <w:t xml:space="preserve">Oh, for the good old days, when income was recorded when it was earned.  Well, we are off to </w:t>
      </w:r>
      <w:r w:rsidR="00B80DF5">
        <w:rPr>
          <w:rFonts w:ascii="Verdana" w:hAnsi="Verdana"/>
          <w:sz w:val="24"/>
          <w:szCs w:val="24"/>
        </w:rPr>
        <w:t xml:space="preserve">the </w:t>
      </w:r>
      <w:r>
        <w:rPr>
          <w:rFonts w:ascii="Verdana" w:hAnsi="Verdana"/>
          <w:sz w:val="24"/>
          <w:szCs w:val="24"/>
        </w:rPr>
        <w:t>mall to make some bargain purchases</w:t>
      </w:r>
      <w:r w:rsidR="009431B5">
        <w:rPr>
          <w:rFonts w:ascii="Verdana" w:hAnsi="Verdana"/>
          <w:sz w:val="24"/>
          <w:szCs w:val="24"/>
        </w:rPr>
        <w:t xml:space="preserve"> (summer sales days are upon us)</w:t>
      </w:r>
      <w:r>
        <w:rPr>
          <w:rFonts w:ascii="Verdana" w:hAnsi="Verdana"/>
          <w:sz w:val="24"/>
          <w:szCs w:val="24"/>
        </w:rPr>
        <w:t xml:space="preserve"> and generate some income.</w:t>
      </w:r>
    </w:p>
    <w:p w:rsidR="00BA0AB9" w:rsidRDefault="00BA0AB9" w:rsidP="0020787C">
      <w:pPr>
        <w:rPr>
          <w:rFonts w:ascii="Verdana" w:hAnsi="Verdana"/>
          <w:sz w:val="24"/>
          <w:szCs w:val="24"/>
        </w:rPr>
      </w:pPr>
    </w:p>
    <w:p w:rsidR="00EC23A1" w:rsidRPr="008671AB" w:rsidRDefault="00EC23A1"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sectPr w:rsidR="005679C2" w:rsidRPr="00EE3621" w:rsidSect="00626C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1E1" w:rsidRDefault="00B611E1" w:rsidP="007B5AA6">
      <w:r>
        <w:separator/>
      </w:r>
    </w:p>
  </w:endnote>
  <w:endnote w:type="continuationSeparator" w:id="0">
    <w:p w:rsidR="00B611E1" w:rsidRDefault="00B611E1" w:rsidP="007B5A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1E1" w:rsidRDefault="00B611E1" w:rsidP="007B5AA6">
      <w:r>
        <w:separator/>
      </w:r>
    </w:p>
  </w:footnote>
  <w:footnote w:type="continuationSeparator" w:id="0">
    <w:p w:rsidR="00B611E1" w:rsidRDefault="00B611E1" w:rsidP="007B5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BA2"/>
    <w:multiLevelType w:val="hybridMultilevel"/>
    <w:tmpl w:val="3732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D1521"/>
    <w:multiLevelType w:val="multilevel"/>
    <w:tmpl w:val="6C6A8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E139E"/>
    <w:multiLevelType w:val="hybridMultilevel"/>
    <w:tmpl w:val="5A2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B5B78"/>
    <w:multiLevelType w:val="hybridMultilevel"/>
    <w:tmpl w:val="B9AC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C755B"/>
    <w:multiLevelType w:val="hybridMultilevel"/>
    <w:tmpl w:val="CE7A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231295"/>
    <w:multiLevelType w:val="hybridMultilevel"/>
    <w:tmpl w:val="25D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D0580"/>
    <w:multiLevelType w:val="hybridMultilevel"/>
    <w:tmpl w:val="618E18EE"/>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4C0812"/>
    <w:multiLevelType w:val="hybridMultilevel"/>
    <w:tmpl w:val="1E749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B352A"/>
    <w:multiLevelType w:val="hybridMultilevel"/>
    <w:tmpl w:val="9CEED64C"/>
    <w:lvl w:ilvl="0" w:tplc="CA1C2C96">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519574F0"/>
    <w:multiLevelType w:val="multilevel"/>
    <w:tmpl w:val="F5B2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E0275"/>
    <w:multiLevelType w:val="hybridMultilevel"/>
    <w:tmpl w:val="FDA4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E35E2"/>
    <w:multiLevelType w:val="hybridMultilevel"/>
    <w:tmpl w:val="CAE691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BCA792F"/>
    <w:multiLevelType w:val="multilevel"/>
    <w:tmpl w:val="BFE8AC2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721014CB"/>
    <w:multiLevelType w:val="hybridMultilevel"/>
    <w:tmpl w:val="AF32B6C4"/>
    <w:lvl w:ilvl="0" w:tplc="E2F8E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520270B"/>
    <w:multiLevelType w:val="hybridMultilevel"/>
    <w:tmpl w:val="0A0E0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8E7D7B"/>
    <w:multiLevelType w:val="hybridMultilevel"/>
    <w:tmpl w:val="3634B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F27359"/>
    <w:multiLevelType w:val="hybridMultilevel"/>
    <w:tmpl w:val="C664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97FA2"/>
    <w:multiLevelType w:val="hybridMultilevel"/>
    <w:tmpl w:val="809C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A54F63"/>
    <w:multiLevelType w:val="hybridMultilevel"/>
    <w:tmpl w:val="DBE69C70"/>
    <w:lvl w:ilvl="0" w:tplc="CA1C2C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2"/>
  </w:num>
  <w:num w:numId="3">
    <w:abstractNumId w:val="3"/>
  </w:num>
  <w:num w:numId="4">
    <w:abstractNumId w:val="1"/>
  </w:num>
  <w:num w:numId="5">
    <w:abstractNumId w:val="22"/>
  </w:num>
  <w:num w:numId="6">
    <w:abstractNumId w:val="13"/>
  </w:num>
  <w:num w:numId="7">
    <w:abstractNumId w:val="14"/>
  </w:num>
  <w:num w:numId="8">
    <w:abstractNumId w:val="9"/>
  </w:num>
  <w:num w:numId="9">
    <w:abstractNumId w:val="19"/>
  </w:num>
  <w:num w:numId="10">
    <w:abstractNumId w:val="2"/>
  </w:num>
  <w:num w:numId="11">
    <w:abstractNumId w:val="18"/>
  </w:num>
  <w:num w:numId="12">
    <w:abstractNumId w:val="21"/>
  </w:num>
  <w:num w:numId="13">
    <w:abstractNumId w:val="15"/>
  </w:num>
  <w:num w:numId="14">
    <w:abstractNumId w:val="20"/>
  </w:num>
  <w:num w:numId="15">
    <w:abstractNumId w:val="6"/>
  </w:num>
  <w:num w:numId="16">
    <w:abstractNumId w:val="26"/>
  </w:num>
  <w:num w:numId="17">
    <w:abstractNumId w:val="11"/>
  </w:num>
  <w:num w:numId="18">
    <w:abstractNumId w:val="8"/>
  </w:num>
  <w:num w:numId="19">
    <w:abstractNumId w:val="7"/>
  </w:num>
  <w:num w:numId="20">
    <w:abstractNumId w:val="10"/>
  </w:num>
  <w:num w:numId="21">
    <w:abstractNumId w:val="4"/>
  </w:num>
  <w:num w:numId="22">
    <w:abstractNumId w:val="23"/>
  </w:num>
  <w:num w:numId="23">
    <w:abstractNumId w:val="25"/>
  </w:num>
  <w:num w:numId="24">
    <w:abstractNumId w:val="16"/>
  </w:num>
  <w:num w:numId="25">
    <w:abstractNumId w:val="5"/>
  </w:num>
  <w:num w:numId="26">
    <w:abstractNumId w:val="24"/>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footnotePr>
    <w:footnote w:id="-1"/>
    <w:footnote w:id="0"/>
  </w:footnotePr>
  <w:endnotePr>
    <w:endnote w:id="-1"/>
    <w:endnote w:id="0"/>
  </w:endnotePr>
  <w:compat/>
  <w:rsids>
    <w:rsidRoot w:val="003A627B"/>
    <w:rsid w:val="00002964"/>
    <w:rsid w:val="0000345B"/>
    <w:rsid w:val="000036B6"/>
    <w:rsid w:val="00007C02"/>
    <w:rsid w:val="0001223C"/>
    <w:rsid w:val="00013A1E"/>
    <w:rsid w:val="00014F46"/>
    <w:rsid w:val="00020F06"/>
    <w:rsid w:val="0002188E"/>
    <w:rsid w:val="00032D82"/>
    <w:rsid w:val="000334D4"/>
    <w:rsid w:val="000374C2"/>
    <w:rsid w:val="000437E8"/>
    <w:rsid w:val="00051DC2"/>
    <w:rsid w:val="00052C5C"/>
    <w:rsid w:val="000672D7"/>
    <w:rsid w:val="00067E9B"/>
    <w:rsid w:val="00070A9F"/>
    <w:rsid w:val="00075BFB"/>
    <w:rsid w:val="00076894"/>
    <w:rsid w:val="00081916"/>
    <w:rsid w:val="0008518C"/>
    <w:rsid w:val="00086480"/>
    <w:rsid w:val="00093316"/>
    <w:rsid w:val="00093B2D"/>
    <w:rsid w:val="000A3CC5"/>
    <w:rsid w:val="000A52AA"/>
    <w:rsid w:val="000A68B5"/>
    <w:rsid w:val="000B0974"/>
    <w:rsid w:val="000C0DAE"/>
    <w:rsid w:val="000C4198"/>
    <w:rsid w:val="000C55EE"/>
    <w:rsid w:val="000C6302"/>
    <w:rsid w:val="000C669E"/>
    <w:rsid w:val="000D228C"/>
    <w:rsid w:val="000D246D"/>
    <w:rsid w:val="000E18E5"/>
    <w:rsid w:val="000E2E4F"/>
    <w:rsid w:val="000F0901"/>
    <w:rsid w:val="000F2233"/>
    <w:rsid w:val="000F2DC8"/>
    <w:rsid w:val="000F42DF"/>
    <w:rsid w:val="000F5D26"/>
    <w:rsid w:val="00103442"/>
    <w:rsid w:val="00112A54"/>
    <w:rsid w:val="00123C93"/>
    <w:rsid w:val="00124D4C"/>
    <w:rsid w:val="00127FD3"/>
    <w:rsid w:val="00136C99"/>
    <w:rsid w:val="00143C09"/>
    <w:rsid w:val="0014413D"/>
    <w:rsid w:val="001607A3"/>
    <w:rsid w:val="00161E0F"/>
    <w:rsid w:val="00162F11"/>
    <w:rsid w:val="00165215"/>
    <w:rsid w:val="00166500"/>
    <w:rsid w:val="0016737C"/>
    <w:rsid w:val="00171E70"/>
    <w:rsid w:val="001823C4"/>
    <w:rsid w:val="00183076"/>
    <w:rsid w:val="00190FBB"/>
    <w:rsid w:val="00192D00"/>
    <w:rsid w:val="00196DE5"/>
    <w:rsid w:val="001978FB"/>
    <w:rsid w:val="001A1791"/>
    <w:rsid w:val="001A35D6"/>
    <w:rsid w:val="001A4C91"/>
    <w:rsid w:val="001A523B"/>
    <w:rsid w:val="001A5685"/>
    <w:rsid w:val="001A63DD"/>
    <w:rsid w:val="001B2AE8"/>
    <w:rsid w:val="001B3448"/>
    <w:rsid w:val="001B54FF"/>
    <w:rsid w:val="001C098E"/>
    <w:rsid w:val="001C3948"/>
    <w:rsid w:val="001C497A"/>
    <w:rsid w:val="001C5C9F"/>
    <w:rsid w:val="001C7FFA"/>
    <w:rsid w:val="001D7AC4"/>
    <w:rsid w:val="001F1E90"/>
    <w:rsid w:val="0020134E"/>
    <w:rsid w:val="0020293D"/>
    <w:rsid w:val="0020787C"/>
    <w:rsid w:val="00210C7A"/>
    <w:rsid w:val="002134E1"/>
    <w:rsid w:val="00215FD8"/>
    <w:rsid w:val="00217C3B"/>
    <w:rsid w:val="00223620"/>
    <w:rsid w:val="002254DA"/>
    <w:rsid w:val="00227D08"/>
    <w:rsid w:val="002348DA"/>
    <w:rsid w:val="00264576"/>
    <w:rsid w:val="00265356"/>
    <w:rsid w:val="00265925"/>
    <w:rsid w:val="00285D9E"/>
    <w:rsid w:val="002921E3"/>
    <w:rsid w:val="00292D3C"/>
    <w:rsid w:val="002954BA"/>
    <w:rsid w:val="00297DE7"/>
    <w:rsid w:val="002A35CE"/>
    <w:rsid w:val="002B0A9D"/>
    <w:rsid w:val="002B29A5"/>
    <w:rsid w:val="002C3CF3"/>
    <w:rsid w:val="002C3E0F"/>
    <w:rsid w:val="002C4F22"/>
    <w:rsid w:val="002D164E"/>
    <w:rsid w:val="002E1983"/>
    <w:rsid w:val="002F12BA"/>
    <w:rsid w:val="002F1C18"/>
    <w:rsid w:val="002F262A"/>
    <w:rsid w:val="002F3E6F"/>
    <w:rsid w:val="003022BC"/>
    <w:rsid w:val="00304385"/>
    <w:rsid w:val="00307529"/>
    <w:rsid w:val="0031191B"/>
    <w:rsid w:val="00315910"/>
    <w:rsid w:val="00316C9F"/>
    <w:rsid w:val="003259CE"/>
    <w:rsid w:val="00327520"/>
    <w:rsid w:val="0032760C"/>
    <w:rsid w:val="00332261"/>
    <w:rsid w:val="00354144"/>
    <w:rsid w:val="00360613"/>
    <w:rsid w:val="0036142D"/>
    <w:rsid w:val="003614EA"/>
    <w:rsid w:val="003617B7"/>
    <w:rsid w:val="00361AB2"/>
    <w:rsid w:val="00362844"/>
    <w:rsid w:val="00362935"/>
    <w:rsid w:val="00362D5A"/>
    <w:rsid w:val="00383C6D"/>
    <w:rsid w:val="00383ECD"/>
    <w:rsid w:val="003866D9"/>
    <w:rsid w:val="00387AD3"/>
    <w:rsid w:val="0039366C"/>
    <w:rsid w:val="00393E26"/>
    <w:rsid w:val="00394F33"/>
    <w:rsid w:val="00395638"/>
    <w:rsid w:val="003A0BFC"/>
    <w:rsid w:val="003A627B"/>
    <w:rsid w:val="003B5481"/>
    <w:rsid w:val="003C2F39"/>
    <w:rsid w:val="003C370E"/>
    <w:rsid w:val="003D4590"/>
    <w:rsid w:val="003D52F2"/>
    <w:rsid w:val="003D7633"/>
    <w:rsid w:val="003E092D"/>
    <w:rsid w:val="003E2195"/>
    <w:rsid w:val="003F2470"/>
    <w:rsid w:val="003F2F38"/>
    <w:rsid w:val="003F6FEC"/>
    <w:rsid w:val="00400752"/>
    <w:rsid w:val="00404567"/>
    <w:rsid w:val="00404D1A"/>
    <w:rsid w:val="00407EDD"/>
    <w:rsid w:val="00407FE7"/>
    <w:rsid w:val="00412EF3"/>
    <w:rsid w:val="00422907"/>
    <w:rsid w:val="00423830"/>
    <w:rsid w:val="004238E6"/>
    <w:rsid w:val="00427B52"/>
    <w:rsid w:val="00430103"/>
    <w:rsid w:val="00430CC2"/>
    <w:rsid w:val="00434BB2"/>
    <w:rsid w:val="00435AB9"/>
    <w:rsid w:val="0043674F"/>
    <w:rsid w:val="00441449"/>
    <w:rsid w:val="00442D98"/>
    <w:rsid w:val="00443813"/>
    <w:rsid w:val="004477D9"/>
    <w:rsid w:val="00450E44"/>
    <w:rsid w:val="00452131"/>
    <w:rsid w:val="004534FA"/>
    <w:rsid w:val="00455A99"/>
    <w:rsid w:val="004562E4"/>
    <w:rsid w:val="00460BD2"/>
    <w:rsid w:val="00465E6E"/>
    <w:rsid w:val="00466069"/>
    <w:rsid w:val="00470E6A"/>
    <w:rsid w:val="00471A13"/>
    <w:rsid w:val="0048360C"/>
    <w:rsid w:val="00484C49"/>
    <w:rsid w:val="00490BFE"/>
    <w:rsid w:val="00490DAC"/>
    <w:rsid w:val="00491723"/>
    <w:rsid w:val="00493F2B"/>
    <w:rsid w:val="00495332"/>
    <w:rsid w:val="004A745F"/>
    <w:rsid w:val="004B03F1"/>
    <w:rsid w:val="004B537D"/>
    <w:rsid w:val="004B57C9"/>
    <w:rsid w:val="004B5E64"/>
    <w:rsid w:val="004B6B8E"/>
    <w:rsid w:val="004C2459"/>
    <w:rsid w:val="004D04CE"/>
    <w:rsid w:val="004D23A9"/>
    <w:rsid w:val="004D3E1B"/>
    <w:rsid w:val="004D42A8"/>
    <w:rsid w:val="004D6BFC"/>
    <w:rsid w:val="004E0A6F"/>
    <w:rsid w:val="004E7997"/>
    <w:rsid w:val="004E7B9C"/>
    <w:rsid w:val="004F1C35"/>
    <w:rsid w:val="004F264C"/>
    <w:rsid w:val="004F5EB2"/>
    <w:rsid w:val="00500864"/>
    <w:rsid w:val="00500995"/>
    <w:rsid w:val="005021AE"/>
    <w:rsid w:val="005057B7"/>
    <w:rsid w:val="0050716A"/>
    <w:rsid w:val="00507677"/>
    <w:rsid w:val="00510101"/>
    <w:rsid w:val="0051695C"/>
    <w:rsid w:val="0051747E"/>
    <w:rsid w:val="005174B2"/>
    <w:rsid w:val="00520260"/>
    <w:rsid w:val="00520832"/>
    <w:rsid w:val="005220DF"/>
    <w:rsid w:val="00533664"/>
    <w:rsid w:val="00534915"/>
    <w:rsid w:val="005373CC"/>
    <w:rsid w:val="005427BB"/>
    <w:rsid w:val="00542A32"/>
    <w:rsid w:val="00546C8A"/>
    <w:rsid w:val="00547265"/>
    <w:rsid w:val="00566ACC"/>
    <w:rsid w:val="005679C2"/>
    <w:rsid w:val="00572989"/>
    <w:rsid w:val="005740D5"/>
    <w:rsid w:val="0057420F"/>
    <w:rsid w:val="0058071A"/>
    <w:rsid w:val="00584522"/>
    <w:rsid w:val="00586FFE"/>
    <w:rsid w:val="005877D3"/>
    <w:rsid w:val="00591E9C"/>
    <w:rsid w:val="005B3AFB"/>
    <w:rsid w:val="005B6B3D"/>
    <w:rsid w:val="005B7BA1"/>
    <w:rsid w:val="005C0883"/>
    <w:rsid w:val="005C512C"/>
    <w:rsid w:val="005C5AA8"/>
    <w:rsid w:val="005C5E2B"/>
    <w:rsid w:val="005C719F"/>
    <w:rsid w:val="005C7FC3"/>
    <w:rsid w:val="005D3219"/>
    <w:rsid w:val="005D548A"/>
    <w:rsid w:val="005E40D4"/>
    <w:rsid w:val="005F04A2"/>
    <w:rsid w:val="005F2D0B"/>
    <w:rsid w:val="005F5040"/>
    <w:rsid w:val="006012E0"/>
    <w:rsid w:val="006062C5"/>
    <w:rsid w:val="00611266"/>
    <w:rsid w:val="0061533A"/>
    <w:rsid w:val="006161C0"/>
    <w:rsid w:val="006250C5"/>
    <w:rsid w:val="006255D9"/>
    <w:rsid w:val="00626CA8"/>
    <w:rsid w:val="00630849"/>
    <w:rsid w:val="00630BC8"/>
    <w:rsid w:val="00633A33"/>
    <w:rsid w:val="00636320"/>
    <w:rsid w:val="006369C4"/>
    <w:rsid w:val="0064033C"/>
    <w:rsid w:val="00643303"/>
    <w:rsid w:val="0064394F"/>
    <w:rsid w:val="006442AE"/>
    <w:rsid w:val="006443D4"/>
    <w:rsid w:val="006461D5"/>
    <w:rsid w:val="00654AEE"/>
    <w:rsid w:val="006550B6"/>
    <w:rsid w:val="00656161"/>
    <w:rsid w:val="00664A0B"/>
    <w:rsid w:val="00667F72"/>
    <w:rsid w:val="00671A41"/>
    <w:rsid w:val="00671DE9"/>
    <w:rsid w:val="006772D0"/>
    <w:rsid w:val="00680C26"/>
    <w:rsid w:val="00681673"/>
    <w:rsid w:val="00695771"/>
    <w:rsid w:val="00697578"/>
    <w:rsid w:val="006A2E31"/>
    <w:rsid w:val="006A3716"/>
    <w:rsid w:val="006A3CBA"/>
    <w:rsid w:val="006A7CF1"/>
    <w:rsid w:val="006B5167"/>
    <w:rsid w:val="006B5C71"/>
    <w:rsid w:val="006B7A87"/>
    <w:rsid w:val="006D40B4"/>
    <w:rsid w:val="006E7490"/>
    <w:rsid w:val="006F298B"/>
    <w:rsid w:val="006F4965"/>
    <w:rsid w:val="00701811"/>
    <w:rsid w:val="0070258E"/>
    <w:rsid w:val="00703C3D"/>
    <w:rsid w:val="007069CC"/>
    <w:rsid w:val="00714FEC"/>
    <w:rsid w:val="00716893"/>
    <w:rsid w:val="0072083E"/>
    <w:rsid w:val="00721ED9"/>
    <w:rsid w:val="007240D6"/>
    <w:rsid w:val="00725BD9"/>
    <w:rsid w:val="007310E9"/>
    <w:rsid w:val="00732233"/>
    <w:rsid w:val="00732A73"/>
    <w:rsid w:val="00741CC4"/>
    <w:rsid w:val="00741CE7"/>
    <w:rsid w:val="00744BA9"/>
    <w:rsid w:val="00747520"/>
    <w:rsid w:val="00753045"/>
    <w:rsid w:val="00754C4A"/>
    <w:rsid w:val="0075714F"/>
    <w:rsid w:val="0076155A"/>
    <w:rsid w:val="00762F72"/>
    <w:rsid w:val="007635B3"/>
    <w:rsid w:val="00763D47"/>
    <w:rsid w:val="007836DF"/>
    <w:rsid w:val="00785611"/>
    <w:rsid w:val="007935E9"/>
    <w:rsid w:val="00795EDC"/>
    <w:rsid w:val="007A54C7"/>
    <w:rsid w:val="007A67D0"/>
    <w:rsid w:val="007A74AF"/>
    <w:rsid w:val="007B26C2"/>
    <w:rsid w:val="007B510D"/>
    <w:rsid w:val="007B5AA6"/>
    <w:rsid w:val="007B7557"/>
    <w:rsid w:val="007C0F93"/>
    <w:rsid w:val="007C2521"/>
    <w:rsid w:val="007D1C85"/>
    <w:rsid w:val="007D30EB"/>
    <w:rsid w:val="007D7854"/>
    <w:rsid w:val="007E0EB8"/>
    <w:rsid w:val="007E274D"/>
    <w:rsid w:val="007E3232"/>
    <w:rsid w:val="007E34E6"/>
    <w:rsid w:val="007E4E7D"/>
    <w:rsid w:val="007E5690"/>
    <w:rsid w:val="007E6425"/>
    <w:rsid w:val="007E7891"/>
    <w:rsid w:val="007E7DA2"/>
    <w:rsid w:val="007F0D3E"/>
    <w:rsid w:val="007F1AF6"/>
    <w:rsid w:val="007F736D"/>
    <w:rsid w:val="00800C88"/>
    <w:rsid w:val="00800CB1"/>
    <w:rsid w:val="0082077B"/>
    <w:rsid w:val="00823AFE"/>
    <w:rsid w:val="00825D4D"/>
    <w:rsid w:val="00826541"/>
    <w:rsid w:val="008265E1"/>
    <w:rsid w:val="00830910"/>
    <w:rsid w:val="00830A0B"/>
    <w:rsid w:val="00834103"/>
    <w:rsid w:val="00835E8E"/>
    <w:rsid w:val="008363B9"/>
    <w:rsid w:val="00841389"/>
    <w:rsid w:val="00841C01"/>
    <w:rsid w:val="00847F54"/>
    <w:rsid w:val="00861134"/>
    <w:rsid w:val="00863F6E"/>
    <w:rsid w:val="008671AB"/>
    <w:rsid w:val="00872289"/>
    <w:rsid w:val="00874083"/>
    <w:rsid w:val="008757FF"/>
    <w:rsid w:val="00876D08"/>
    <w:rsid w:val="00876D95"/>
    <w:rsid w:val="0088295A"/>
    <w:rsid w:val="00885921"/>
    <w:rsid w:val="00890771"/>
    <w:rsid w:val="0089187B"/>
    <w:rsid w:val="008919AF"/>
    <w:rsid w:val="0089296C"/>
    <w:rsid w:val="00894C28"/>
    <w:rsid w:val="008A2560"/>
    <w:rsid w:val="008B5E1A"/>
    <w:rsid w:val="008B6872"/>
    <w:rsid w:val="008C256F"/>
    <w:rsid w:val="008C3E56"/>
    <w:rsid w:val="008C5EEB"/>
    <w:rsid w:val="008C691D"/>
    <w:rsid w:val="008D2071"/>
    <w:rsid w:val="008D5DE7"/>
    <w:rsid w:val="008D7723"/>
    <w:rsid w:val="008D7880"/>
    <w:rsid w:val="008E0442"/>
    <w:rsid w:val="008E6D9D"/>
    <w:rsid w:val="008F04C5"/>
    <w:rsid w:val="009017B5"/>
    <w:rsid w:val="00907BCA"/>
    <w:rsid w:val="00914576"/>
    <w:rsid w:val="00927AEB"/>
    <w:rsid w:val="00930C78"/>
    <w:rsid w:val="009363F6"/>
    <w:rsid w:val="00940AD0"/>
    <w:rsid w:val="009431B5"/>
    <w:rsid w:val="00944985"/>
    <w:rsid w:val="00952126"/>
    <w:rsid w:val="00952D24"/>
    <w:rsid w:val="009552D6"/>
    <w:rsid w:val="00974768"/>
    <w:rsid w:val="00975403"/>
    <w:rsid w:val="00981430"/>
    <w:rsid w:val="00981A0E"/>
    <w:rsid w:val="00984F2A"/>
    <w:rsid w:val="009A0991"/>
    <w:rsid w:val="009A0F6E"/>
    <w:rsid w:val="009A26FD"/>
    <w:rsid w:val="009A2816"/>
    <w:rsid w:val="009A40B3"/>
    <w:rsid w:val="009A43AF"/>
    <w:rsid w:val="009A6D9B"/>
    <w:rsid w:val="009A708E"/>
    <w:rsid w:val="009B013C"/>
    <w:rsid w:val="009B1A90"/>
    <w:rsid w:val="009C0B50"/>
    <w:rsid w:val="009D3CF4"/>
    <w:rsid w:val="009D772A"/>
    <w:rsid w:val="009E3B72"/>
    <w:rsid w:val="009E725A"/>
    <w:rsid w:val="009F0A97"/>
    <w:rsid w:val="00A02E34"/>
    <w:rsid w:val="00A03ADF"/>
    <w:rsid w:val="00A06B5A"/>
    <w:rsid w:val="00A11437"/>
    <w:rsid w:val="00A1143D"/>
    <w:rsid w:val="00A11FD2"/>
    <w:rsid w:val="00A12949"/>
    <w:rsid w:val="00A14E6E"/>
    <w:rsid w:val="00A20F6C"/>
    <w:rsid w:val="00A2604A"/>
    <w:rsid w:val="00A33470"/>
    <w:rsid w:val="00A3462B"/>
    <w:rsid w:val="00A35333"/>
    <w:rsid w:val="00A43460"/>
    <w:rsid w:val="00A44661"/>
    <w:rsid w:val="00A45B36"/>
    <w:rsid w:val="00A501CA"/>
    <w:rsid w:val="00A56122"/>
    <w:rsid w:val="00A623DC"/>
    <w:rsid w:val="00A64206"/>
    <w:rsid w:val="00A72FDC"/>
    <w:rsid w:val="00A74DDB"/>
    <w:rsid w:val="00A759EC"/>
    <w:rsid w:val="00A9283B"/>
    <w:rsid w:val="00A92B56"/>
    <w:rsid w:val="00A94ED1"/>
    <w:rsid w:val="00AA3C42"/>
    <w:rsid w:val="00AA78B1"/>
    <w:rsid w:val="00AB5DEF"/>
    <w:rsid w:val="00AC0275"/>
    <w:rsid w:val="00AC081E"/>
    <w:rsid w:val="00AC5F06"/>
    <w:rsid w:val="00AC7090"/>
    <w:rsid w:val="00AD6616"/>
    <w:rsid w:val="00AE3622"/>
    <w:rsid w:val="00AE44C0"/>
    <w:rsid w:val="00AF13C7"/>
    <w:rsid w:val="00AF22C7"/>
    <w:rsid w:val="00B00CDE"/>
    <w:rsid w:val="00B1128F"/>
    <w:rsid w:val="00B11CE6"/>
    <w:rsid w:val="00B12949"/>
    <w:rsid w:val="00B150F4"/>
    <w:rsid w:val="00B20912"/>
    <w:rsid w:val="00B20A52"/>
    <w:rsid w:val="00B22B1B"/>
    <w:rsid w:val="00B22DA1"/>
    <w:rsid w:val="00B26B72"/>
    <w:rsid w:val="00B5636F"/>
    <w:rsid w:val="00B611E1"/>
    <w:rsid w:val="00B67C86"/>
    <w:rsid w:val="00B7664B"/>
    <w:rsid w:val="00B7722F"/>
    <w:rsid w:val="00B77990"/>
    <w:rsid w:val="00B77E24"/>
    <w:rsid w:val="00B80DF5"/>
    <w:rsid w:val="00B80F61"/>
    <w:rsid w:val="00B8681F"/>
    <w:rsid w:val="00B86A44"/>
    <w:rsid w:val="00B91B36"/>
    <w:rsid w:val="00B91C46"/>
    <w:rsid w:val="00B92299"/>
    <w:rsid w:val="00B92AA2"/>
    <w:rsid w:val="00B9339C"/>
    <w:rsid w:val="00B94CDA"/>
    <w:rsid w:val="00BA0AB9"/>
    <w:rsid w:val="00BA23CF"/>
    <w:rsid w:val="00BA7DA2"/>
    <w:rsid w:val="00BB2082"/>
    <w:rsid w:val="00BB27D8"/>
    <w:rsid w:val="00BB6235"/>
    <w:rsid w:val="00BB638E"/>
    <w:rsid w:val="00BC1DB8"/>
    <w:rsid w:val="00BC33AB"/>
    <w:rsid w:val="00BC6D20"/>
    <w:rsid w:val="00BD1B89"/>
    <w:rsid w:val="00BD1C30"/>
    <w:rsid w:val="00BD4859"/>
    <w:rsid w:val="00BD5A48"/>
    <w:rsid w:val="00BD6ED6"/>
    <w:rsid w:val="00BE5852"/>
    <w:rsid w:val="00BF321C"/>
    <w:rsid w:val="00BF4BFB"/>
    <w:rsid w:val="00BF4CC9"/>
    <w:rsid w:val="00BF663F"/>
    <w:rsid w:val="00BF6A89"/>
    <w:rsid w:val="00C02A18"/>
    <w:rsid w:val="00C0326A"/>
    <w:rsid w:val="00C04A39"/>
    <w:rsid w:val="00C06021"/>
    <w:rsid w:val="00C065CF"/>
    <w:rsid w:val="00C06BB5"/>
    <w:rsid w:val="00C06C9A"/>
    <w:rsid w:val="00C1019A"/>
    <w:rsid w:val="00C12F75"/>
    <w:rsid w:val="00C14B68"/>
    <w:rsid w:val="00C17B64"/>
    <w:rsid w:val="00C2051A"/>
    <w:rsid w:val="00C25606"/>
    <w:rsid w:val="00C265D4"/>
    <w:rsid w:val="00C311C8"/>
    <w:rsid w:val="00C33F62"/>
    <w:rsid w:val="00C40DDB"/>
    <w:rsid w:val="00C60E3E"/>
    <w:rsid w:val="00C7386E"/>
    <w:rsid w:val="00C73BEA"/>
    <w:rsid w:val="00C73D7F"/>
    <w:rsid w:val="00C7445A"/>
    <w:rsid w:val="00C77A79"/>
    <w:rsid w:val="00C77D2D"/>
    <w:rsid w:val="00C83508"/>
    <w:rsid w:val="00C84739"/>
    <w:rsid w:val="00C84E3D"/>
    <w:rsid w:val="00C85D5E"/>
    <w:rsid w:val="00C86325"/>
    <w:rsid w:val="00CA21E3"/>
    <w:rsid w:val="00CA4259"/>
    <w:rsid w:val="00CA5CD3"/>
    <w:rsid w:val="00CA7D8E"/>
    <w:rsid w:val="00CB2C19"/>
    <w:rsid w:val="00CB7FD0"/>
    <w:rsid w:val="00CC7B0A"/>
    <w:rsid w:val="00CD0850"/>
    <w:rsid w:val="00CD0E7F"/>
    <w:rsid w:val="00CD27FE"/>
    <w:rsid w:val="00CD6EB0"/>
    <w:rsid w:val="00CE1F6F"/>
    <w:rsid w:val="00CE5F34"/>
    <w:rsid w:val="00CF29EF"/>
    <w:rsid w:val="00CF567E"/>
    <w:rsid w:val="00CF5BF7"/>
    <w:rsid w:val="00CF785E"/>
    <w:rsid w:val="00D005BC"/>
    <w:rsid w:val="00D045C6"/>
    <w:rsid w:val="00D04C30"/>
    <w:rsid w:val="00D10237"/>
    <w:rsid w:val="00D15B07"/>
    <w:rsid w:val="00D264A7"/>
    <w:rsid w:val="00D273AD"/>
    <w:rsid w:val="00D42D55"/>
    <w:rsid w:val="00D45FB3"/>
    <w:rsid w:val="00D475D0"/>
    <w:rsid w:val="00D506D7"/>
    <w:rsid w:val="00D546A3"/>
    <w:rsid w:val="00D54EF4"/>
    <w:rsid w:val="00D552C9"/>
    <w:rsid w:val="00D61215"/>
    <w:rsid w:val="00D62A5E"/>
    <w:rsid w:val="00D65CE0"/>
    <w:rsid w:val="00D66F58"/>
    <w:rsid w:val="00D72331"/>
    <w:rsid w:val="00D92C5E"/>
    <w:rsid w:val="00D933CF"/>
    <w:rsid w:val="00D94638"/>
    <w:rsid w:val="00D96CB6"/>
    <w:rsid w:val="00D973B7"/>
    <w:rsid w:val="00DA0E60"/>
    <w:rsid w:val="00DA29E6"/>
    <w:rsid w:val="00DB2366"/>
    <w:rsid w:val="00DB5864"/>
    <w:rsid w:val="00DB6FBA"/>
    <w:rsid w:val="00DC0018"/>
    <w:rsid w:val="00DC6A24"/>
    <w:rsid w:val="00DD2F13"/>
    <w:rsid w:val="00DE012A"/>
    <w:rsid w:val="00DE470E"/>
    <w:rsid w:val="00DE58F7"/>
    <w:rsid w:val="00DE60CC"/>
    <w:rsid w:val="00DE7E5E"/>
    <w:rsid w:val="00DF0BCE"/>
    <w:rsid w:val="00DF5C72"/>
    <w:rsid w:val="00E0278C"/>
    <w:rsid w:val="00E02EDC"/>
    <w:rsid w:val="00E049EA"/>
    <w:rsid w:val="00E0530E"/>
    <w:rsid w:val="00E12A7D"/>
    <w:rsid w:val="00E13460"/>
    <w:rsid w:val="00E13EA4"/>
    <w:rsid w:val="00E20C6E"/>
    <w:rsid w:val="00E26ACF"/>
    <w:rsid w:val="00E302A3"/>
    <w:rsid w:val="00E318EE"/>
    <w:rsid w:val="00E31D4C"/>
    <w:rsid w:val="00E3488C"/>
    <w:rsid w:val="00E3571A"/>
    <w:rsid w:val="00E45FC7"/>
    <w:rsid w:val="00E53C93"/>
    <w:rsid w:val="00E57E3B"/>
    <w:rsid w:val="00E605B4"/>
    <w:rsid w:val="00E656F7"/>
    <w:rsid w:val="00E6651F"/>
    <w:rsid w:val="00E70AF2"/>
    <w:rsid w:val="00E70E2E"/>
    <w:rsid w:val="00E81155"/>
    <w:rsid w:val="00E85258"/>
    <w:rsid w:val="00E855FF"/>
    <w:rsid w:val="00E85675"/>
    <w:rsid w:val="00E92244"/>
    <w:rsid w:val="00E96BB4"/>
    <w:rsid w:val="00EA73DD"/>
    <w:rsid w:val="00EA7A35"/>
    <w:rsid w:val="00EA7D48"/>
    <w:rsid w:val="00EB4D4A"/>
    <w:rsid w:val="00EB5B21"/>
    <w:rsid w:val="00EB66B8"/>
    <w:rsid w:val="00EB75E6"/>
    <w:rsid w:val="00EC23A1"/>
    <w:rsid w:val="00EC3AA4"/>
    <w:rsid w:val="00ED2F15"/>
    <w:rsid w:val="00ED3830"/>
    <w:rsid w:val="00ED708A"/>
    <w:rsid w:val="00EE308B"/>
    <w:rsid w:val="00EE3621"/>
    <w:rsid w:val="00EE5591"/>
    <w:rsid w:val="00EE62E4"/>
    <w:rsid w:val="00EE6A29"/>
    <w:rsid w:val="00EF31A2"/>
    <w:rsid w:val="00EF3CB2"/>
    <w:rsid w:val="00EF44EA"/>
    <w:rsid w:val="00EF68FA"/>
    <w:rsid w:val="00EF7AC1"/>
    <w:rsid w:val="00F0140C"/>
    <w:rsid w:val="00F022B1"/>
    <w:rsid w:val="00F0433A"/>
    <w:rsid w:val="00F17B65"/>
    <w:rsid w:val="00F24A2D"/>
    <w:rsid w:val="00F25ED5"/>
    <w:rsid w:val="00F30B71"/>
    <w:rsid w:val="00F33395"/>
    <w:rsid w:val="00F33E59"/>
    <w:rsid w:val="00F3480B"/>
    <w:rsid w:val="00F3670A"/>
    <w:rsid w:val="00F3680C"/>
    <w:rsid w:val="00F37BB7"/>
    <w:rsid w:val="00F42B57"/>
    <w:rsid w:val="00F454E5"/>
    <w:rsid w:val="00F46496"/>
    <w:rsid w:val="00F46EFB"/>
    <w:rsid w:val="00F57109"/>
    <w:rsid w:val="00F61B68"/>
    <w:rsid w:val="00F638ED"/>
    <w:rsid w:val="00F656C9"/>
    <w:rsid w:val="00F66731"/>
    <w:rsid w:val="00F705B6"/>
    <w:rsid w:val="00F7237C"/>
    <w:rsid w:val="00F7596C"/>
    <w:rsid w:val="00F8568F"/>
    <w:rsid w:val="00F862BB"/>
    <w:rsid w:val="00F9032B"/>
    <w:rsid w:val="00F931FF"/>
    <w:rsid w:val="00F93625"/>
    <w:rsid w:val="00F94C21"/>
    <w:rsid w:val="00F95297"/>
    <w:rsid w:val="00F9721D"/>
    <w:rsid w:val="00FA26FE"/>
    <w:rsid w:val="00FA2996"/>
    <w:rsid w:val="00FA305E"/>
    <w:rsid w:val="00FA4EC8"/>
    <w:rsid w:val="00FB23C1"/>
    <w:rsid w:val="00FB352F"/>
    <w:rsid w:val="00FB7B89"/>
    <w:rsid w:val="00FB7F87"/>
    <w:rsid w:val="00FC02CB"/>
    <w:rsid w:val="00FC4057"/>
    <w:rsid w:val="00FC4C08"/>
    <w:rsid w:val="00FC520E"/>
    <w:rsid w:val="00FC5D0E"/>
    <w:rsid w:val="00FC7108"/>
    <w:rsid w:val="00FD0D5E"/>
    <w:rsid w:val="00FD55C7"/>
    <w:rsid w:val="00FD5C99"/>
    <w:rsid w:val="00FD5FD5"/>
    <w:rsid w:val="00FE403B"/>
    <w:rsid w:val="00FE7107"/>
    <w:rsid w:val="00FF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1">
    <w:name w:val="heading 1"/>
    <w:basedOn w:val="Normal"/>
    <w:next w:val="Normal"/>
    <w:link w:val="Heading1Char"/>
    <w:uiPriority w:val="9"/>
    <w:qFormat/>
    <w:rsid w:val="00FB35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294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1294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9E6"/>
  </w:style>
  <w:style w:type="character" w:styleId="Emphasis">
    <w:name w:val="Emphasis"/>
    <w:basedOn w:val="DefaultParagraphFont"/>
    <w:uiPriority w:val="20"/>
    <w:qFormat/>
    <w:rsid w:val="00DA29E6"/>
    <w:rPr>
      <w:i/>
      <w:iCs/>
    </w:rPr>
  </w:style>
  <w:style w:type="character" w:customStyle="1" w:styleId="Heading1Char">
    <w:name w:val="Heading 1 Char"/>
    <w:basedOn w:val="DefaultParagraphFont"/>
    <w:link w:val="Heading1"/>
    <w:uiPriority w:val="9"/>
    <w:rsid w:val="00FB352F"/>
    <w:rPr>
      <w:rFonts w:asciiTheme="majorHAnsi" w:eastAsiaTheme="majorEastAsia" w:hAnsiTheme="majorHAnsi" w:cstheme="majorBidi"/>
      <w:b/>
      <w:bCs/>
      <w:color w:val="365F91" w:themeColor="accent1" w:themeShade="BF"/>
      <w:sz w:val="28"/>
      <w:szCs w:val="28"/>
    </w:rPr>
  </w:style>
  <w:style w:type="character" w:customStyle="1" w:styleId="name">
    <w:name w:val="name"/>
    <w:basedOn w:val="DefaultParagraphFont"/>
    <w:rsid w:val="00FB352F"/>
  </w:style>
  <w:style w:type="character" w:customStyle="1" w:styleId="Heading3Char">
    <w:name w:val="Heading 3 Char"/>
    <w:basedOn w:val="DefaultParagraphFont"/>
    <w:link w:val="Heading3"/>
    <w:uiPriority w:val="9"/>
    <w:semiHidden/>
    <w:rsid w:val="00B1294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B1294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8A2560"/>
    <w:rPr>
      <w:rFonts w:ascii="Consolas" w:hAnsi="Consolas"/>
      <w:sz w:val="21"/>
      <w:szCs w:val="21"/>
    </w:rPr>
  </w:style>
  <w:style w:type="character" w:customStyle="1" w:styleId="PlainTextChar">
    <w:name w:val="Plain Text Char"/>
    <w:basedOn w:val="DefaultParagraphFont"/>
    <w:link w:val="PlainText"/>
    <w:uiPriority w:val="99"/>
    <w:rsid w:val="008A2560"/>
    <w:rPr>
      <w:rFonts w:ascii="Consolas" w:hAnsi="Consolas"/>
      <w:sz w:val="21"/>
      <w:szCs w:val="21"/>
    </w:rPr>
  </w:style>
  <w:style w:type="table" w:styleId="TableGrid">
    <w:name w:val="Table Grid"/>
    <w:basedOn w:val="TableNormal"/>
    <w:uiPriority w:val="59"/>
    <w:rsid w:val="006E7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brand">
    <w:name w:val="ptbrand"/>
    <w:basedOn w:val="DefaultParagraphFont"/>
    <w:rsid w:val="00C33F62"/>
  </w:style>
  <w:style w:type="character" w:customStyle="1" w:styleId="bindingandrelease">
    <w:name w:val="bindingandrelease"/>
    <w:basedOn w:val="DefaultParagraphFont"/>
    <w:rsid w:val="00C33F62"/>
  </w:style>
  <w:style w:type="character" w:customStyle="1" w:styleId="contributornametrigger">
    <w:name w:val="contributornametrigger"/>
    <w:basedOn w:val="DefaultParagraphFont"/>
    <w:rsid w:val="0089296C"/>
  </w:style>
  <w:style w:type="paragraph" w:styleId="Header">
    <w:name w:val="header"/>
    <w:basedOn w:val="Normal"/>
    <w:link w:val="HeaderChar"/>
    <w:uiPriority w:val="99"/>
    <w:semiHidden/>
    <w:unhideWhenUsed/>
    <w:rsid w:val="007B5AA6"/>
    <w:pPr>
      <w:tabs>
        <w:tab w:val="center" w:pos="4680"/>
        <w:tab w:val="right" w:pos="9360"/>
      </w:tabs>
    </w:pPr>
  </w:style>
  <w:style w:type="character" w:customStyle="1" w:styleId="HeaderChar">
    <w:name w:val="Header Char"/>
    <w:basedOn w:val="DefaultParagraphFont"/>
    <w:link w:val="Header"/>
    <w:uiPriority w:val="99"/>
    <w:semiHidden/>
    <w:rsid w:val="007B5AA6"/>
  </w:style>
  <w:style w:type="paragraph" w:styleId="Footer">
    <w:name w:val="footer"/>
    <w:basedOn w:val="Normal"/>
    <w:link w:val="FooterChar"/>
    <w:uiPriority w:val="99"/>
    <w:semiHidden/>
    <w:unhideWhenUsed/>
    <w:rsid w:val="007B5AA6"/>
    <w:pPr>
      <w:tabs>
        <w:tab w:val="center" w:pos="4680"/>
        <w:tab w:val="right" w:pos="9360"/>
      </w:tabs>
    </w:pPr>
  </w:style>
  <w:style w:type="character" w:customStyle="1" w:styleId="FooterChar">
    <w:name w:val="Footer Char"/>
    <w:basedOn w:val="DefaultParagraphFont"/>
    <w:link w:val="Footer"/>
    <w:uiPriority w:val="99"/>
    <w:semiHidden/>
    <w:rsid w:val="007B5AA6"/>
  </w:style>
</w:styles>
</file>

<file path=word/webSettings.xml><?xml version="1.0" encoding="utf-8"?>
<w:webSettings xmlns:r="http://schemas.openxmlformats.org/officeDocument/2006/relationships" xmlns:w="http://schemas.openxmlformats.org/wordprocessingml/2006/main">
  <w:divs>
    <w:div w:id="241961254">
      <w:bodyDiv w:val="1"/>
      <w:marLeft w:val="0"/>
      <w:marRight w:val="0"/>
      <w:marTop w:val="0"/>
      <w:marBottom w:val="0"/>
      <w:divBdr>
        <w:top w:val="none" w:sz="0" w:space="0" w:color="auto"/>
        <w:left w:val="none" w:sz="0" w:space="0" w:color="auto"/>
        <w:bottom w:val="none" w:sz="0" w:space="0" w:color="auto"/>
        <w:right w:val="none" w:sz="0" w:space="0" w:color="auto"/>
      </w:divBdr>
    </w:div>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686905543">
      <w:bodyDiv w:val="1"/>
      <w:marLeft w:val="0"/>
      <w:marRight w:val="0"/>
      <w:marTop w:val="0"/>
      <w:marBottom w:val="0"/>
      <w:divBdr>
        <w:top w:val="none" w:sz="0" w:space="0" w:color="auto"/>
        <w:left w:val="none" w:sz="0" w:space="0" w:color="auto"/>
        <w:bottom w:val="none" w:sz="0" w:space="0" w:color="auto"/>
        <w:right w:val="none" w:sz="0" w:space="0" w:color="auto"/>
      </w:divBdr>
    </w:div>
    <w:div w:id="816646213">
      <w:bodyDiv w:val="1"/>
      <w:marLeft w:val="0"/>
      <w:marRight w:val="0"/>
      <w:marTop w:val="0"/>
      <w:marBottom w:val="0"/>
      <w:divBdr>
        <w:top w:val="none" w:sz="0" w:space="0" w:color="auto"/>
        <w:left w:val="none" w:sz="0" w:space="0" w:color="auto"/>
        <w:bottom w:val="none" w:sz="0" w:space="0" w:color="auto"/>
        <w:right w:val="none" w:sz="0" w:space="0" w:color="auto"/>
      </w:divBdr>
    </w:div>
    <w:div w:id="1292706672">
      <w:bodyDiv w:val="1"/>
      <w:marLeft w:val="0"/>
      <w:marRight w:val="0"/>
      <w:marTop w:val="0"/>
      <w:marBottom w:val="0"/>
      <w:divBdr>
        <w:top w:val="none" w:sz="0" w:space="0" w:color="auto"/>
        <w:left w:val="none" w:sz="0" w:space="0" w:color="auto"/>
        <w:bottom w:val="none" w:sz="0" w:space="0" w:color="auto"/>
        <w:right w:val="none" w:sz="0" w:space="0" w:color="auto"/>
      </w:divBdr>
    </w:div>
    <w:div w:id="1339308456">
      <w:bodyDiv w:val="1"/>
      <w:marLeft w:val="0"/>
      <w:marRight w:val="0"/>
      <w:marTop w:val="0"/>
      <w:marBottom w:val="0"/>
      <w:divBdr>
        <w:top w:val="none" w:sz="0" w:space="0" w:color="auto"/>
        <w:left w:val="none" w:sz="0" w:space="0" w:color="auto"/>
        <w:bottom w:val="none" w:sz="0" w:space="0" w:color="auto"/>
        <w:right w:val="none" w:sz="0" w:space="0" w:color="auto"/>
      </w:divBdr>
    </w:div>
    <w:div w:id="1358002252">
      <w:bodyDiv w:val="1"/>
      <w:marLeft w:val="0"/>
      <w:marRight w:val="0"/>
      <w:marTop w:val="0"/>
      <w:marBottom w:val="0"/>
      <w:divBdr>
        <w:top w:val="none" w:sz="0" w:space="0" w:color="auto"/>
        <w:left w:val="none" w:sz="0" w:space="0" w:color="auto"/>
        <w:bottom w:val="none" w:sz="0" w:space="0" w:color="auto"/>
        <w:right w:val="none" w:sz="0" w:space="0" w:color="auto"/>
      </w:divBdr>
    </w:div>
    <w:div w:id="1497333350">
      <w:bodyDiv w:val="1"/>
      <w:marLeft w:val="0"/>
      <w:marRight w:val="0"/>
      <w:marTop w:val="0"/>
      <w:marBottom w:val="0"/>
      <w:divBdr>
        <w:top w:val="none" w:sz="0" w:space="0" w:color="auto"/>
        <w:left w:val="none" w:sz="0" w:space="0" w:color="auto"/>
        <w:bottom w:val="none" w:sz="0" w:space="0" w:color="auto"/>
        <w:right w:val="none" w:sz="0" w:space="0" w:color="auto"/>
      </w:divBdr>
      <w:divsChild>
        <w:div w:id="649939555">
          <w:marLeft w:val="0"/>
          <w:marRight w:val="0"/>
          <w:marTop w:val="0"/>
          <w:marBottom w:val="0"/>
          <w:divBdr>
            <w:top w:val="none" w:sz="0" w:space="0" w:color="auto"/>
            <w:left w:val="none" w:sz="0" w:space="0" w:color="auto"/>
            <w:bottom w:val="none" w:sz="0" w:space="0" w:color="auto"/>
            <w:right w:val="none" w:sz="0" w:space="0" w:color="auto"/>
          </w:divBdr>
        </w:div>
      </w:divsChild>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6346">
      <w:bodyDiv w:val="1"/>
      <w:marLeft w:val="0"/>
      <w:marRight w:val="0"/>
      <w:marTop w:val="0"/>
      <w:marBottom w:val="0"/>
      <w:divBdr>
        <w:top w:val="none" w:sz="0" w:space="0" w:color="auto"/>
        <w:left w:val="none" w:sz="0" w:space="0" w:color="auto"/>
        <w:bottom w:val="none" w:sz="0" w:space="0" w:color="auto"/>
        <w:right w:val="none" w:sz="0" w:space="0" w:color="auto"/>
      </w:divBdr>
    </w:div>
    <w:div w:id="1812671269">
      <w:bodyDiv w:val="1"/>
      <w:marLeft w:val="0"/>
      <w:marRight w:val="0"/>
      <w:marTop w:val="0"/>
      <w:marBottom w:val="0"/>
      <w:divBdr>
        <w:top w:val="none" w:sz="0" w:space="0" w:color="auto"/>
        <w:left w:val="none" w:sz="0" w:space="0" w:color="auto"/>
        <w:bottom w:val="none" w:sz="0" w:space="0" w:color="auto"/>
        <w:right w:val="none" w:sz="0" w:space="0" w:color="auto"/>
      </w:divBdr>
    </w:div>
    <w:div w:id="1827016334">
      <w:bodyDiv w:val="1"/>
      <w:marLeft w:val="0"/>
      <w:marRight w:val="0"/>
      <w:marTop w:val="0"/>
      <w:marBottom w:val="0"/>
      <w:divBdr>
        <w:top w:val="none" w:sz="0" w:space="0" w:color="auto"/>
        <w:left w:val="none" w:sz="0" w:space="0" w:color="auto"/>
        <w:bottom w:val="none" w:sz="0" w:space="0" w:color="auto"/>
        <w:right w:val="none" w:sz="0" w:space="0" w:color="auto"/>
      </w:divBdr>
      <w:divsChild>
        <w:div w:id="1364939153">
          <w:marLeft w:val="0"/>
          <w:marRight w:val="0"/>
          <w:marTop w:val="360"/>
          <w:marBottom w:val="408"/>
          <w:divBdr>
            <w:top w:val="none" w:sz="0" w:space="0" w:color="auto"/>
            <w:left w:val="none" w:sz="0" w:space="0" w:color="auto"/>
            <w:bottom w:val="none" w:sz="0" w:space="0" w:color="auto"/>
            <w:right w:val="none" w:sz="0" w:space="0" w:color="auto"/>
          </w:divBdr>
        </w:div>
        <w:div w:id="2019195059">
          <w:marLeft w:val="125"/>
          <w:marRight w:val="88"/>
          <w:marTop w:val="0"/>
          <w:marBottom w:val="0"/>
          <w:divBdr>
            <w:top w:val="none" w:sz="0" w:space="0" w:color="auto"/>
            <w:left w:val="none" w:sz="0" w:space="0" w:color="auto"/>
            <w:bottom w:val="none" w:sz="0" w:space="0" w:color="auto"/>
            <w:right w:val="none" w:sz="0" w:space="0" w:color="auto"/>
          </w:divBdr>
        </w:div>
        <w:div w:id="173108801">
          <w:marLeft w:val="0"/>
          <w:marRight w:val="0"/>
          <w:marTop w:val="360"/>
          <w:marBottom w:val="408"/>
          <w:divBdr>
            <w:top w:val="none" w:sz="0" w:space="0" w:color="auto"/>
            <w:left w:val="none" w:sz="0" w:space="0" w:color="auto"/>
            <w:bottom w:val="none" w:sz="0" w:space="0" w:color="auto"/>
            <w:right w:val="none" w:sz="0" w:space="0" w:color="auto"/>
          </w:divBdr>
        </w:div>
      </w:divsChild>
    </w:div>
    <w:div w:id="1895196835">
      <w:bodyDiv w:val="1"/>
      <w:marLeft w:val="0"/>
      <w:marRight w:val="0"/>
      <w:marTop w:val="0"/>
      <w:marBottom w:val="0"/>
      <w:divBdr>
        <w:top w:val="none" w:sz="0" w:space="0" w:color="auto"/>
        <w:left w:val="none" w:sz="0" w:space="0" w:color="auto"/>
        <w:bottom w:val="none" w:sz="0" w:space="0" w:color="auto"/>
        <w:right w:val="none" w:sz="0" w:space="0" w:color="auto"/>
      </w:divBdr>
    </w:div>
    <w:div w:id="1918057306">
      <w:bodyDiv w:val="1"/>
      <w:marLeft w:val="0"/>
      <w:marRight w:val="0"/>
      <w:marTop w:val="0"/>
      <w:marBottom w:val="0"/>
      <w:divBdr>
        <w:top w:val="none" w:sz="0" w:space="0" w:color="auto"/>
        <w:left w:val="none" w:sz="0" w:space="0" w:color="auto"/>
        <w:bottom w:val="none" w:sz="0" w:space="0" w:color="auto"/>
        <w:right w:val="none" w:sz="0" w:space="0" w:color="auto"/>
      </w:divBdr>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meal.psu.edu/grumpyoldaccountants/archives/305" TargetMode="External"/><Relationship Id="rId13" Type="http://schemas.openxmlformats.org/officeDocument/2006/relationships/hyperlink" Target="http://markets.on.nytimes.com/research/stocks/news/press_release.asp?docTag=201207190600PR_NEWS_USPRX____LA42922&amp;feedID=600&amp;press_symbol=2326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gov/Archives/edgar/data/921557/000115752312002683/a5026574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Archives/edgar/data/927628/000119312512216807/d311186d10q.htm" TargetMode="External"/><Relationship Id="rId5" Type="http://schemas.openxmlformats.org/officeDocument/2006/relationships/webSettings" Target="webSettings.xml"/><Relationship Id="rId15" Type="http://schemas.openxmlformats.org/officeDocument/2006/relationships/hyperlink" Target="http://blogs.smeal.psu.edu/grumpyoldaccountants/archives/89" TargetMode="External"/><Relationship Id="rId10" Type="http://schemas.openxmlformats.org/officeDocument/2006/relationships/hyperlink" Target="http://www.sec.gov/Archives/edgar/data/920321/000092032112000008/a20111231-10k.htm" TargetMode="External"/><Relationship Id="rId4" Type="http://schemas.openxmlformats.org/officeDocument/2006/relationships/settings" Target="settings.xml"/><Relationship Id="rId9" Type="http://schemas.openxmlformats.org/officeDocument/2006/relationships/hyperlink" Target="http://www.sec.gov/Archives/edgar/data/1336917/000119312512078826/d225054d10k.htm" TargetMode="External"/><Relationship Id="rId14" Type="http://schemas.openxmlformats.org/officeDocument/2006/relationships/hyperlink" Target="http://www.snl.com/InteractiveX/Article.aspx?cdid=A-14686138-12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51677-6140-4137-AE9A-B97D05F1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8</cp:revision>
  <cp:lastPrinted>2012-07-27T14:50:00Z</cp:lastPrinted>
  <dcterms:created xsi:type="dcterms:W3CDTF">2012-07-28T18:04:00Z</dcterms:created>
  <dcterms:modified xsi:type="dcterms:W3CDTF">2012-07-30T15:45:00Z</dcterms:modified>
</cp:coreProperties>
</file>