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924774" w:rsidP="00E81155">
      <w:pPr>
        <w:rPr>
          <w:rFonts w:ascii="Arial" w:hAnsi="Arial" w:cs="Arial"/>
          <w:b/>
          <w:sz w:val="28"/>
          <w:szCs w:val="28"/>
        </w:rPr>
      </w:pPr>
      <w:r>
        <w:rPr>
          <w:rFonts w:ascii="Arial" w:hAnsi="Arial" w:cs="Arial"/>
          <w:b/>
          <w:sz w:val="28"/>
          <w:szCs w:val="28"/>
        </w:rPr>
        <w:t xml:space="preserve">IS </w:t>
      </w:r>
      <w:r w:rsidR="00F540BD">
        <w:rPr>
          <w:rFonts w:ascii="Arial" w:hAnsi="Arial" w:cs="Arial"/>
          <w:b/>
          <w:sz w:val="28"/>
          <w:szCs w:val="28"/>
        </w:rPr>
        <w:t xml:space="preserve">A </w:t>
      </w:r>
      <w:r w:rsidR="009E4B9A">
        <w:rPr>
          <w:rFonts w:ascii="Arial" w:hAnsi="Arial" w:cs="Arial"/>
          <w:b/>
          <w:sz w:val="28"/>
          <w:szCs w:val="28"/>
        </w:rPr>
        <w:t>LEASE</w:t>
      </w:r>
      <w:r w:rsidR="00F540BD">
        <w:rPr>
          <w:rFonts w:ascii="Arial" w:hAnsi="Arial" w:cs="Arial"/>
          <w:b/>
          <w:sz w:val="28"/>
          <w:szCs w:val="28"/>
        </w:rPr>
        <w:t xml:space="preserve"> ACCOUNTING BREAKTHROUGH</w:t>
      </w:r>
      <w:r>
        <w:rPr>
          <w:rFonts w:ascii="Arial" w:hAnsi="Arial" w:cs="Arial"/>
          <w:b/>
          <w:sz w:val="28"/>
          <w:szCs w:val="28"/>
        </w:rPr>
        <w:t xml:space="preserve"> IN THE OFFING?</w:t>
      </w:r>
    </w:p>
    <w:p w:rsidR="00924774" w:rsidRDefault="00924774" w:rsidP="00E81155">
      <w:pPr>
        <w:rPr>
          <w:rFonts w:ascii="Arial" w:hAnsi="Arial" w:cs="Arial"/>
          <w:b/>
          <w:sz w:val="28"/>
          <w:szCs w:val="28"/>
        </w:rPr>
      </w:pPr>
      <w:r>
        <w:rPr>
          <w:rFonts w:ascii="Arial" w:hAnsi="Arial" w:cs="Arial"/>
          <w:b/>
          <w:sz w:val="28"/>
          <w:szCs w:val="28"/>
        </w:rPr>
        <w:t>WE ARE HOLDING OUR BREATH</w:t>
      </w:r>
      <w:r>
        <w:rPr>
          <w:rFonts w:ascii="Arial" w:hAnsi="Arial" w:cs="Arial"/>
          <w:b/>
          <w:sz w:val="28"/>
          <w:szCs w:val="28"/>
        </w:rPr>
        <w:br/>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F540BD">
        <w:rPr>
          <w:rFonts w:ascii="Arial" w:hAnsi="Arial" w:cs="Arial"/>
          <w:b/>
          <w:i/>
          <w:sz w:val="24"/>
          <w:szCs w:val="24"/>
        </w:rPr>
        <w:t>June</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Pr="00656A82" w:rsidRDefault="00BF4CC9" w:rsidP="00DA29E6">
      <w:pPr>
        <w:rPr>
          <w:rFonts w:ascii="Verdana" w:hAnsi="Verdana" w:cs="Arial"/>
          <w:sz w:val="24"/>
          <w:szCs w:val="24"/>
        </w:rPr>
      </w:pPr>
    </w:p>
    <w:p w:rsidR="00A61C2C" w:rsidRPr="00656A82" w:rsidRDefault="00A61C2C" w:rsidP="00DA29E6">
      <w:pPr>
        <w:rPr>
          <w:rFonts w:ascii="Verdana" w:hAnsi="Verdana" w:cs="Arial"/>
          <w:sz w:val="24"/>
          <w:szCs w:val="24"/>
        </w:rPr>
      </w:pPr>
    </w:p>
    <w:p w:rsidR="00797B40" w:rsidRDefault="005D1AA8" w:rsidP="00A61C2C">
      <w:pPr>
        <w:rPr>
          <w:rFonts w:ascii="Verdana" w:hAnsi="Verdana" w:cs="Arial"/>
          <w:sz w:val="24"/>
          <w:szCs w:val="24"/>
        </w:rPr>
      </w:pPr>
      <w:r>
        <w:rPr>
          <w:rFonts w:ascii="Verdana" w:hAnsi="Verdana" w:cs="Arial"/>
          <w:sz w:val="24"/>
          <w:szCs w:val="24"/>
        </w:rPr>
        <w:t xml:space="preserve">Emily Chasan wrote in </w:t>
      </w:r>
      <w:r w:rsidRPr="005D1AA8">
        <w:rPr>
          <w:rFonts w:ascii="Verdana" w:hAnsi="Verdana" w:cs="Arial"/>
          <w:i/>
          <w:sz w:val="24"/>
          <w:szCs w:val="24"/>
        </w:rPr>
        <w:t>The CFO Journal</w:t>
      </w:r>
      <w:r>
        <w:rPr>
          <w:rFonts w:ascii="Verdana" w:hAnsi="Verdana" w:cs="Arial"/>
          <w:sz w:val="24"/>
          <w:szCs w:val="24"/>
        </w:rPr>
        <w:t xml:space="preserve"> that a “</w:t>
      </w:r>
      <w:hyperlink r:id="rId5" w:history="1">
        <w:r w:rsidRPr="005D1AA8">
          <w:rPr>
            <w:rStyle w:val="Hyperlink"/>
            <w:rFonts w:ascii="Verdana" w:hAnsi="Verdana" w:cs="Arial"/>
            <w:sz w:val="24"/>
            <w:szCs w:val="24"/>
          </w:rPr>
          <w:t>Lease Accounting Breakthrough Could Come in June</w:t>
        </w:r>
      </w:hyperlink>
      <w:r>
        <w:rPr>
          <w:rFonts w:ascii="Verdana" w:hAnsi="Verdana" w:cs="Arial"/>
          <w:sz w:val="24"/>
          <w:szCs w:val="24"/>
        </w:rPr>
        <w:t xml:space="preserve">.”  </w:t>
      </w:r>
      <w:r w:rsidR="00BD7B6B">
        <w:rPr>
          <w:rFonts w:ascii="Verdana" w:hAnsi="Verdana" w:cs="Arial"/>
          <w:sz w:val="24"/>
          <w:szCs w:val="24"/>
        </w:rPr>
        <w:t>Since this issue has been debated for several decades, it is about time.</w:t>
      </w:r>
    </w:p>
    <w:p w:rsidR="00BD7B6B" w:rsidRDefault="00BD7B6B" w:rsidP="00A61C2C">
      <w:pPr>
        <w:rPr>
          <w:rFonts w:ascii="Verdana" w:hAnsi="Verdana" w:cs="Arial"/>
          <w:sz w:val="24"/>
          <w:szCs w:val="24"/>
        </w:rPr>
      </w:pPr>
    </w:p>
    <w:p w:rsidR="00BD7B6B" w:rsidRDefault="00BD7B6B" w:rsidP="00A61C2C">
      <w:pPr>
        <w:rPr>
          <w:rFonts w:ascii="Verdana" w:hAnsi="Verdana" w:cs="Arial"/>
          <w:sz w:val="24"/>
          <w:szCs w:val="24"/>
        </w:rPr>
      </w:pPr>
      <w:r>
        <w:rPr>
          <w:rFonts w:ascii="Verdana" w:hAnsi="Verdana" w:cs="Arial"/>
          <w:sz w:val="24"/>
          <w:szCs w:val="24"/>
        </w:rPr>
        <w:t>Chasan reports that “board members … still believe investors want to see lease obligations on corporate balance sheets to get a clearer picture of corporate liabilities.”  Like duh!!  Of course they do</w:t>
      </w:r>
      <w:r w:rsidR="00AD535F">
        <w:rPr>
          <w:rFonts w:ascii="Verdana" w:hAnsi="Verdana" w:cs="Arial"/>
          <w:sz w:val="24"/>
          <w:szCs w:val="24"/>
        </w:rPr>
        <w:t>,</w:t>
      </w:r>
      <w:r>
        <w:rPr>
          <w:rFonts w:ascii="Verdana" w:hAnsi="Verdana" w:cs="Arial"/>
          <w:sz w:val="24"/>
          <w:szCs w:val="24"/>
        </w:rPr>
        <w:t xml:space="preserve"> because any reasonable person would readily a</w:t>
      </w:r>
      <w:r w:rsidR="00871AE5">
        <w:rPr>
          <w:rFonts w:ascii="Verdana" w:hAnsi="Verdana" w:cs="Arial"/>
          <w:sz w:val="24"/>
          <w:szCs w:val="24"/>
        </w:rPr>
        <w:t>dmit that all lease obligations</w:t>
      </w:r>
      <w:r w:rsidR="00760D46">
        <w:rPr>
          <w:rFonts w:ascii="Verdana" w:hAnsi="Verdana" w:cs="Arial"/>
          <w:sz w:val="24"/>
          <w:szCs w:val="24"/>
        </w:rPr>
        <w:t xml:space="preserve"> should be recognized</w:t>
      </w:r>
      <w:r w:rsidR="00871AE5">
        <w:rPr>
          <w:rFonts w:ascii="Verdana" w:hAnsi="Verdana" w:cs="Arial"/>
          <w:sz w:val="24"/>
          <w:szCs w:val="24"/>
        </w:rPr>
        <w:t>.  They are liabilities</w:t>
      </w:r>
      <w:r w:rsidR="00760D46">
        <w:rPr>
          <w:rFonts w:ascii="Verdana" w:hAnsi="Verdana" w:cs="Arial"/>
          <w:sz w:val="24"/>
          <w:szCs w:val="24"/>
        </w:rPr>
        <w:t xml:space="preserve">—and </w:t>
      </w:r>
      <w:r w:rsidR="00871AE5">
        <w:rPr>
          <w:rFonts w:ascii="Verdana" w:hAnsi="Verdana" w:cs="Arial"/>
          <w:sz w:val="24"/>
          <w:szCs w:val="24"/>
        </w:rPr>
        <w:t>even intro accounting students know that liabilities go on the balance sheet.</w:t>
      </w:r>
    </w:p>
    <w:p w:rsidR="009B5340" w:rsidRDefault="009B5340" w:rsidP="00A61C2C">
      <w:pPr>
        <w:rPr>
          <w:rFonts w:ascii="Verdana" w:hAnsi="Verdana" w:cs="Arial"/>
          <w:sz w:val="24"/>
          <w:szCs w:val="24"/>
        </w:rPr>
      </w:pPr>
    </w:p>
    <w:p w:rsidR="009B5340" w:rsidRDefault="009B5340" w:rsidP="00A61C2C">
      <w:pPr>
        <w:rPr>
          <w:rFonts w:ascii="Verdana" w:hAnsi="Verdana" w:cs="Arial"/>
          <w:sz w:val="24"/>
          <w:szCs w:val="24"/>
        </w:rPr>
      </w:pPr>
      <w:r>
        <w:rPr>
          <w:rFonts w:ascii="Verdana" w:hAnsi="Verdana" w:cs="Arial"/>
          <w:sz w:val="24"/>
          <w:szCs w:val="24"/>
        </w:rPr>
        <w:t xml:space="preserve">That being said, </w:t>
      </w:r>
      <w:hyperlink r:id="rId6" w:history="1">
        <w:r w:rsidRPr="009B5340">
          <w:rPr>
            <w:rStyle w:val="Hyperlink"/>
            <w:rFonts w:ascii="Verdana" w:hAnsi="Verdana" w:cs="Arial"/>
            <w:sz w:val="24"/>
            <w:szCs w:val="24"/>
          </w:rPr>
          <w:t>two California congressmen</w:t>
        </w:r>
      </w:hyperlink>
      <w:r>
        <w:rPr>
          <w:rFonts w:ascii="Verdana" w:hAnsi="Verdana" w:cs="Arial"/>
          <w:sz w:val="24"/>
          <w:szCs w:val="24"/>
        </w:rPr>
        <w:t xml:space="preserve"> (who are </w:t>
      </w:r>
      <w:r w:rsidR="00AD535F">
        <w:rPr>
          <w:rFonts w:ascii="Verdana" w:hAnsi="Verdana" w:cs="Arial"/>
          <w:sz w:val="24"/>
          <w:szCs w:val="24"/>
        </w:rPr>
        <w:t xml:space="preserve">actually </w:t>
      </w:r>
      <w:r>
        <w:rPr>
          <w:rFonts w:ascii="Verdana" w:hAnsi="Verdana" w:cs="Arial"/>
          <w:sz w:val="24"/>
          <w:szCs w:val="24"/>
        </w:rPr>
        <w:t xml:space="preserve">CPAs) </w:t>
      </w:r>
      <w:r w:rsidR="00AD535F">
        <w:rPr>
          <w:rFonts w:ascii="Verdana" w:hAnsi="Verdana" w:cs="Arial"/>
          <w:sz w:val="24"/>
          <w:szCs w:val="24"/>
        </w:rPr>
        <w:t>unbelievably</w:t>
      </w:r>
      <w:r>
        <w:rPr>
          <w:rFonts w:ascii="Verdana" w:hAnsi="Verdana" w:cs="Arial"/>
          <w:sz w:val="24"/>
          <w:szCs w:val="24"/>
        </w:rPr>
        <w:t xml:space="preserve"> oppose putting these debts on the balance sheet because of the “disastrous consequences” that </w:t>
      </w:r>
      <w:r w:rsidR="00AD535F">
        <w:rPr>
          <w:rFonts w:ascii="Verdana" w:hAnsi="Verdana" w:cs="Arial"/>
          <w:sz w:val="24"/>
          <w:szCs w:val="24"/>
        </w:rPr>
        <w:t xml:space="preserve">presumably </w:t>
      </w:r>
      <w:r>
        <w:rPr>
          <w:rFonts w:ascii="Verdana" w:hAnsi="Verdana" w:cs="Arial"/>
          <w:sz w:val="24"/>
          <w:szCs w:val="24"/>
        </w:rPr>
        <w:t xml:space="preserve">would ensue for American businesses.  </w:t>
      </w:r>
      <w:r w:rsidR="00AD535F">
        <w:rPr>
          <w:rFonts w:ascii="Verdana" w:hAnsi="Verdana" w:cs="Arial"/>
          <w:sz w:val="24"/>
          <w:szCs w:val="24"/>
        </w:rPr>
        <w:t>Didn’t we hear these same “the sky is falling” arguments for pension obligation and stock option accounting as well?  Nevertheless, t</w:t>
      </w:r>
      <w:r>
        <w:rPr>
          <w:rFonts w:ascii="Verdana" w:hAnsi="Verdana" w:cs="Arial"/>
          <w:sz w:val="24"/>
          <w:szCs w:val="24"/>
        </w:rPr>
        <w:t xml:space="preserve">hese </w:t>
      </w:r>
      <w:r w:rsidR="00AD535F">
        <w:rPr>
          <w:rFonts w:ascii="Verdana" w:hAnsi="Verdana" w:cs="Arial"/>
          <w:sz w:val="24"/>
          <w:szCs w:val="24"/>
        </w:rPr>
        <w:t xml:space="preserve">two </w:t>
      </w:r>
      <w:r>
        <w:rPr>
          <w:rFonts w:ascii="Verdana" w:hAnsi="Verdana" w:cs="Arial"/>
          <w:sz w:val="24"/>
          <w:szCs w:val="24"/>
        </w:rPr>
        <w:t>accountant-legislators either missed an accounting theory cl</w:t>
      </w:r>
      <w:r w:rsidR="00AD535F">
        <w:rPr>
          <w:rFonts w:ascii="Verdana" w:hAnsi="Verdana" w:cs="Arial"/>
          <w:sz w:val="24"/>
          <w:szCs w:val="24"/>
        </w:rPr>
        <w:t>ass along the way, or worry more about re-election than financial reporting transparency.</w:t>
      </w:r>
    </w:p>
    <w:p w:rsidR="00871AE5" w:rsidRDefault="00871AE5" w:rsidP="00A61C2C">
      <w:pPr>
        <w:rPr>
          <w:rFonts w:ascii="Verdana" w:hAnsi="Verdana" w:cs="Arial"/>
          <w:sz w:val="24"/>
          <w:szCs w:val="24"/>
        </w:rPr>
      </w:pPr>
    </w:p>
    <w:p w:rsidR="00871AE5" w:rsidRPr="00656A82" w:rsidRDefault="00AD535F" w:rsidP="00A61C2C">
      <w:pPr>
        <w:rPr>
          <w:rFonts w:ascii="Verdana" w:hAnsi="Verdana" w:cs="Arial"/>
          <w:sz w:val="24"/>
          <w:szCs w:val="24"/>
        </w:rPr>
      </w:pPr>
      <w:r>
        <w:rPr>
          <w:rFonts w:ascii="Verdana" w:hAnsi="Verdana" w:cs="Arial"/>
          <w:sz w:val="24"/>
          <w:szCs w:val="24"/>
        </w:rPr>
        <w:t xml:space="preserve">Back to </w:t>
      </w:r>
      <w:r w:rsidR="000954BE">
        <w:rPr>
          <w:rFonts w:ascii="Verdana" w:hAnsi="Verdana" w:cs="Arial"/>
          <w:sz w:val="24"/>
          <w:szCs w:val="24"/>
        </w:rPr>
        <w:t>the new lease proposals…</w:t>
      </w:r>
      <w:r>
        <w:rPr>
          <w:rFonts w:ascii="Verdana" w:hAnsi="Verdana" w:cs="Arial"/>
          <w:sz w:val="24"/>
          <w:szCs w:val="24"/>
        </w:rPr>
        <w:t>a</w:t>
      </w:r>
      <w:r w:rsidR="00871AE5">
        <w:rPr>
          <w:rFonts w:ascii="Verdana" w:hAnsi="Verdana" w:cs="Arial"/>
          <w:sz w:val="24"/>
          <w:szCs w:val="24"/>
        </w:rPr>
        <w:t xml:space="preserve"> big point of contention at both the FASB and </w:t>
      </w:r>
      <w:r w:rsidR="000954BE">
        <w:rPr>
          <w:rFonts w:ascii="Verdana" w:hAnsi="Verdana" w:cs="Arial"/>
          <w:sz w:val="24"/>
          <w:szCs w:val="24"/>
        </w:rPr>
        <w:t xml:space="preserve">the IASB is how to amortize </w:t>
      </w:r>
      <w:r w:rsidR="00871AE5">
        <w:rPr>
          <w:rFonts w:ascii="Verdana" w:hAnsi="Verdana" w:cs="Arial"/>
          <w:sz w:val="24"/>
          <w:szCs w:val="24"/>
        </w:rPr>
        <w:t>costs.  One approach would use a present value approach</w:t>
      </w:r>
      <w:r>
        <w:rPr>
          <w:rFonts w:ascii="Verdana" w:hAnsi="Verdana" w:cs="Arial"/>
          <w:sz w:val="24"/>
          <w:szCs w:val="24"/>
        </w:rPr>
        <w:t>,</w:t>
      </w:r>
      <w:r w:rsidR="00871AE5">
        <w:rPr>
          <w:rFonts w:ascii="Verdana" w:hAnsi="Verdana" w:cs="Arial"/>
          <w:sz w:val="24"/>
          <w:szCs w:val="24"/>
        </w:rPr>
        <w:t xml:space="preserve"> and the alternative would straight-line the costs.  While we prefer the first as conceptually superior, the other method is </w:t>
      </w:r>
      <w:r w:rsidR="000954BE">
        <w:rPr>
          <w:rFonts w:ascii="Verdana" w:hAnsi="Verdana" w:cs="Arial"/>
          <w:sz w:val="24"/>
          <w:szCs w:val="24"/>
        </w:rPr>
        <w:t xml:space="preserve">also </w:t>
      </w:r>
      <w:r w:rsidR="00871AE5">
        <w:rPr>
          <w:rFonts w:ascii="Verdana" w:hAnsi="Verdana" w:cs="Arial"/>
          <w:sz w:val="24"/>
          <w:szCs w:val="24"/>
        </w:rPr>
        <w:t>acceptable because it at least forces corporate America to recognize these debts in the financial statements instead of pretending that they do not exist.</w:t>
      </w:r>
      <w:r w:rsidR="000954BE">
        <w:rPr>
          <w:rFonts w:ascii="Verdana" w:hAnsi="Verdana" w:cs="Arial"/>
          <w:sz w:val="24"/>
          <w:szCs w:val="24"/>
        </w:rPr>
        <w:t xml:space="preserve">  The second more simplistic approach also avoids yet another opportunity for managers to play with the numbers via discount rate and other present value assumptions.</w:t>
      </w:r>
    </w:p>
    <w:p w:rsidR="00797B40" w:rsidRDefault="00797B40" w:rsidP="00A61C2C">
      <w:pPr>
        <w:rPr>
          <w:rFonts w:ascii="Verdana" w:hAnsi="Verdana" w:cs="Arial"/>
          <w:sz w:val="24"/>
          <w:szCs w:val="24"/>
        </w:rPr>
      </w:pPr>
    </w:p>
    <w:p w:rsidR="00A61C2C" w:rsidRPr="00656A82" w:rsidRDefault="00A65761" w:rsidP="00A61C2C">
      <w:pPr>
        <w:pStyle w:val="BodyText"/>
        <w:spacing w:line="240" w:lineRule="auto"/>
        <w:rPr>
          <w:rFonts w:ascii="Verdana" w:hAnsi="Verdana"/>
          <w:szCs w:val="24"/>
        </w:rPr>
      </w:pPr>
      <w:r>
        <w:rPr>
          <w:rFonts w:ascii="Verdana" w:hAnsi="Verdana"/>
          <w:szCs w:val="24"/>
        </w:rPr>
        <w:t xml:space="preserve">Let’s </w:t>
      </w:r>
      <w:r w:rsidR="00D43A63">
        <w:rPr>
          <w:rFonts w:ascii="Verdana" w:hAnsi="Verdana"/>
          <w:szCs w:val="24"/>
        </w:rPr>
        <w:t xml:space="preserve">restate the fundamental problem </w:t>
      </w:r>
      <w:r>
        <w:rPr>
          <w:rFonts w:ascii="Verdana" w:hAnsi="Verdana"/>
          <w:szCs w:val="24"/>
        </w:rPr>
        <w:t xml:space="preserve">with present-day lease accounting.  </w:t>
      </w:r>
      <w:r w:rsidR="005B5C4B" w:rsidRPr="00656A82">
        <w:rPr>
          <w:rFonts w:ascii="Verdana" w:hAnsi="Verdana"/>
          <w:szCs w:val="24"/>
        </w:rPr>
        <w:t>I</w:t>
      </w:r>
      <w:r w:rsidR="00A61C2C" w:rsidRPr="00656A82">
        <w:rPr>
          <w:rFonts w:ascii="Verdana" w:hAnsi="Verdana"/>
          <w:szCs w:val="24"/>
        </w:rPr>
        <w:t>ssued in November 1976</w:t>
      </w:r>
      <w:r w:rsidR="00F11B2D" w:rsidRPr="00656A82">
        <w:rPr>
          <w:rFonts w:ascii="Verdana" w:hAnsi="Verdana"/>
          <w:szCs w:val="24"/>
        </w:rPr>
        <w:t>, Statement</w:t>
      </w:r>
      <w:r w:rsidR="00797B40" w:rsidRPr="00656A82">
        <w:rPr>
          <w:rFonts w:ascii="Verdana" w:hAnsi="Verdana"/>
          <w:szCs w:val="24"/>
        </w:rPr>
        <w:t xml:space="preserve"> No. 13 still </w:t>
      </w:r>
      <w:r w:rsidR="00A61C2C" w:rsidRPr="00656A82">
        <w:rPr>
          <w:rFonts w:ascii="Verdana" w:hAnsi="Verdana"/>
          <w:szCs w:val="24"/>
        </w:rPr>
        <w:t>governs the accounting for lessees</w:t>
      </w:r>
      <w:r w:rsidR="00D43A63">
        <w:rPr>
          <w:rFonts w:ascii="Verdana" w:hAnsi="Verdana"/>
          <w:szCs w:val="24"/>
        </w:rPr>
        <w:t xml:space="preserve"> in the US</w:t>
      </w:r>
      <w:r w:rsidR="00A61C2C" w:rsidRPr="00656A82">
        <w:rPr>
          <w:rFonts w:ascii="Verdana" w:hAnsi="Verdana"/>
          <w:szCs w:val="24"/>
        </w:rPr>
        <w:t>.  The statement invents</w:t>
      </w:r>
      <w:r w:rsidR="00AD6A29">
        <w:rPr>
          <w:rFonts w:ascii="Verdana" w:hAnsi="Verdana"/>
          <w:szCs w:val="24"/>
        </w:rPr>
        <w:t xml:space="preserve"> </w:t>
      </w:r>
      <w:r w:rsidR="00A61C2C" w:rsidRPr="00656A82">
        <w:rPr>
          <w:rFonts w:ascii="Verdana" w:hAnsi="Verdana"/>
          <w:szCs w:val="24"/>
        </w:rPr>
        <w:t>two classes</w:t>
      </w:r>
      <w:r w:rsidR="0025414C">
        <w:rPr>
          <w:rFonts w:ascii="Verdana" w:hAnsi="Verdana"/>
          <w:szCs w:val="24"/>
        </w:rPr>
        <w:t xml:space="preserve"> of leases: </w:t>
      </w:r>
      <w:r w:rsidR="00A61C2C" w:rsidRPr="00656A82">
        <w:rPr>
          <w:rFonts w:ascii="Verdana" w:hAnsi="Verdana"/>
          <w:szCs w:val="24"/>
        </w:rPr>
        <w:t xml:space="preserve">capital </w:t>
      </w:r>
      <w:r w:rsidR="0025414C">
        <w:rPr>
          <w:rFonts w:ascii="Verdana" w:hAnsi="Verdana"/>
          <w:szCs w:val="24"/>
        </w:rPr>
        <w:t>and operating</w:t>
      </w:r>
      <w:r w:rsidR="00A61C2C" w:rsidRPr="00656A82">
        <w:rPr>
          <w:rFonts w:ascii="Verdana" w:hAnsi="Verdana"/>
          <w:szCs w:val="24"/>
        </w:rPr>
        <w:t>.  In a cap</w:t>
      </w:r>
      <w:r w:rsidR="00867351">
        <w:rPr>
          <w:rFonts w:ascii="Verdana" w:hAnsi="Verdana"/>
          <w:szCs w:val="24"/>
        </w:rPr>
        <w:t xml:space="preserve">ital lease, the firm records an asset and an obligation for the leased property equal to </w:t>
      </w:r>
      <w:r w:rsidR="00AD6A29" w:rsidRPr="00656A82">
        <w:rPr>
          <w:rFonts w:ascii="Verdana" w:hAnsi="Verdana"/>
          <w:szCs w:val="24"/>
        </w:rPr>
        <w:t xml:space="preserve">the present value of </w:t>
      </w:r>
      <w:r w:rsidR="00867351">
        <w:rPr>
          <w:rFonts w:ascii="Verdana" w:hAnsi="Verdana"/>
          <w:szCs w:val="24"/>
        </w:rPr>
        <w:t xml:space="preserve">the </w:t>
      </w:r>
      <w:r w:rsidR="00AD6A29" w:rsidRPr="00656A82">
        <w:rPr>
          <w:rFonts w:ascii="Verdana" w:hAnsi="Verdana"/>
          <w:szCs w:val="24"/>
        </w:rPr>
        <w:t>future cash flows</w:t>
      </w:r>
      <w:r w:rsidR="00867351">
        <w:rPr>
          <w:rFonts w:ascii="Verdana" w:hAnsi="Verdana"/>
          <w:szCs w:val="24"/>
        </w:rPr>
        <w:t xml:space="preserve"> specified in the lease agreement (not to exceed its fair value). Going forward, companies must report depreciation for the capitalized asset, as </w:t>
      </w:r>
      <w:r w:rsidR="00867351">
        <w:rPr>
          <w:rFonts w:ascii="Verdana" w:hAnsi="Verdana"/>
          <w:szCs w:val="24"/>
        </w:rPr>
        <w:lastRenderedPageBreak/>
        <w:t>well as interest expense and principal payments for</w:t>
      </w:r>
      <w:r w:rsidR="00AD6A29" w:rsidRPr="00656A82">
        <w:rPr>
          <w:rFonts w:ascii="Verdana" w:hAnsi="Verdana"/>
          <w:szCs w:val="24"/>
        </w:rPr>
        <w:t xml:space="preserve"> the lease obligation</w:t>
      </w:r>
      <w:r w:rsidR="00A61C2C" w:rsidRPr="00656A82">
        <w:rPr>
          <w:rFonts w:ascii="Verdana" w:hAnsi="Verdana"/>
          <w:szCs w:val="24"/>
        </w:rPr>
        <w:t xml:space="preserve">.  </w:t>
      </w:r>
      <w:r w:rsidR="00867351">
        <w:rPr>
          <w:rFonts w:ascii="Verdana" w:hAnsi="Verdana"/>
          <w:szCs w:val="24"/>
        </w:rPr>
        <w:t xml:space="preserve">In contrast, for </w:t>
      </w:r>
      <w:r w:rsidR="00A61C2C" w:rsidRPr="00656A82">
        <w:rPr>
          <w:rFonts w:ascii="Verdana" w:hAnsi="Verdana"/>
          <w:szCs w:val="24"/>
        </w:rPr>
        <w:t>operating lease</w:t>
      </w:r>
      <w:r w:rsidR="00867351">
        <w:rPr>
          <w:rFonts w:ascii="Verdana" w:hAnsi="Verdana"/>
          <w:szCs w:val="24"/>
        </w:rPr>
        <w:t xml:space="preserve">s, an </w:t>
      </w:r>
      <w:r w:rsidR="00A61C2C" w:rsidRPr="00656A82">
        <w:rPr>
          <w:rFonts w:ascii="Verdana" w:hAnsi="Verdana"/>
          <w:szCs w:val="24"/>
        </w:rPr>
        <w:t xml:space="preserve">entity </w:t>
      </w:r>
      <w:r w:rsidR="00867351">
        <w:rPr>
          <w:rFonts w:ascii="Verdana" w:hAnsi="Verdana"/>
          <w:szCs w:val="24"/>
        </w:rPr>
        <w:t xml:space="preserve">completely </w:t>
      </w:r>
      <w:r w:rsidR="00A61C2C" w:rsidRPr="00656A82">
        <w:rPr>
          <w:rFonts w:ascii="Verdana" w:hAnsi="Verdana"/>
          <w:szCs w:val="24"/>
        </w:rPr>
        <w:t>i</w:t>
      </w:r>
      <w:r w:rsidR="00867351">
        <w:rPr>
          <w:rFonts w:ascii="Verdana" w:hAnsi="Verdana"/>
          <w:szCs w:val="24"/>
        </w:rPr>
        <w:t xml:space="preserve">gnores its property rights and obligations; the only thing it does is </w:t>
      </w:r>
      <w:r w:rsidR="00A61C2C" w:rsidRPr="00656A82">
        <w:rPr>
          <w:rFonts w:ascii="Verdana" w:hAnsi="Verdana"/>
          <w:szCs w:val="24"/>
        </w:rPr>
        <w:t>book rent expense.</w:t>
      </w:r>
    </w:p>
    <w:p w:rsidR="00797B40" w:rsidRDefault="00797B40" w:rsidP="00A61C2C">
      <w:pPr>
        <w:pStyle w:val="BodyText"/>
        <w:spacing w:line="240" w:lineRule="auto"/>
        <w:rPr>
          <w:rFonts w:ascii="Verdana" w:hAnsi="Verdana"/>
          <w:szCs w:val="24"/>
        </w:rPr>
      </w:pPr>
    </w:p>
    <w:p w:rsidR="00A65761" w:rsidRDefault="00A65761" w:rsidP="00A61C2C">
      <w:pPr>
        <w:pStyle w:val="BodyText"/>
        <w:spacing w:line="240" w:lineRule="auto"/>
        <w:rPr>
          <w:rFonts w:ascii="Verdana" w:hAnsi="Verdana"/>
          <w:szCs w:val="24"/>
        </w:rPr>
      </w:pPr>
      <w:r>
        <w:rPr>
          <w:rFonts w:ascii="Verdana" w:hAnsi="Verdana"/>
          <w:szCs w:val="24"/>
        </w:rPr>
        <w:t>A</w:t>
      </w:r>
      <w:r w:rsidRPr="00656A82">
        <w:rPr>
          <w:rFonts w:ascii="Verdana" w:hAnsi="Verdana"/>
          <w:szCs w:val="24"/>
        </w:rPr>
        <w:t xml:space="preserve">ccounting for </w:t>
      </w:r>
      <w:r w:rsidR="0025414C">
        <w:rPr>
          <w:rFonts w:ascii="Verdana" w:hAnsi="Verdana"/>
          <w:szCs w:val="24"/>
        </w:rPr>
        <w:t xml:space="preserve">most </w:t>
      </w:r>
      <w:r w:rsidRPr="00656A82">
        <w:rPr>
          <w:rFonts w:ascii="Verdana" w:hAnsi="Verdana"/>
          <w:szCs w:val="24"/>
        </w:rPr>
        <w:t xml:space="preserve">operating lessees </w:t>
      </w:r>
      <w:r>
        <w:rPr>
          <w:rFonts w:ascii="Verdana" w:hAnsi="Verdana"/>
          <w:szCs w:val="24"/>
        </w:rPr>
        <w:t>i</w:t>
      </w:r>
      <w:r w:rsidRPr="00656A82">
        <w:rPr>
          <w:rFonts w:ascii="Verdana" w:hAnsi="Verdana"/>
          <w:szCs w:val="24"/>
        </w:rPr>
        <w:t>s ridiculous, absurd, contorted, distorted, and illogical.  By allowing business enterprises to ignore the reality of some leases</w:t>
      </w:r>
      <w:r>
        <w:rPr>
          <w:rFonts w:ascii="Verdana" w:hAnsi="Verdana"/>
          <w:szCs w:val="24"/>
        </w:rPr>
        <w:t xml:space="preserve">, </w:t>
      </w:r>
      <w:r w:rsidRPr="00656A82">
        <w:rPr>
          <w:rFonts w:ascii="Verdana" w:hAnsi="Verdana"/>
          <w:szCs w:val="24"/>
        </w:rPr>
        <w:t xml:space="preserve">and not to report the economic effects on the financial statements, the FASB </w:t>
      </w:r>
      <w:r>
        <w:rPr>
          <w:rFonts w:ascii="Verdana" w:hAnsi="Verdana"/>
          <w:szCs w:val="24"/>
        </w:rPr>
        <w:t xml:space="preserve">and the IASB </w:t>
      </w:r>
      <w:r w:rsidRPr="00656A82">
        <w:rPr>
          <w:rFonts w:ascii="Verdana" w:hAnsi="Verdana"/>
          <w:szCs w:val="24"/>
        </w:rPr>
        <w:t>ha</w:t>
      </w:r>
      <w:r>
        <w:rPr>
          <w:rFonts w:ascii="Verdana" w:hAnsi="Verdana"/>
          <w:szCs w:val="24"/>
        </w:rPr>
        <w:t>ve</w:t>
      </w:r>
      <w:r w:rsidRPr="00656A82">
        <w:rPr>
          <w:rFonts w:ascii="Verdana" w:hAnsi="Verdana"/>
          <w:szCs w:val="24"/>
        </w:rPr>
        <w:t xml:space="preserve"> been accessor</w:t>
      </w:r>
      <w:r>
        <w:rPr>
          <w:rFonts w:ascii="Verdana" w:hAnsi="Verdana"/>
          <w:szCs w:val="24"/>
        </w:rPr>
        <w:t>ies</w:t>
      </w:r>
      <w:r w:rsidRPr="00656A82">
        <w:rPr>
          <w:rFonts w:ascii="Verdana" w:hAnsi="Verdana"/>
          <w:szCs w:val="24"/>
        </w:rPr>
        <w:t xml:space="preserve"> to the accounting games played by corporate managers</w:t>
      </w:r>
      <w:r w:rsidR="0025414C">
        <w:rPr>
          <w:rFonts w:ascii="Verdana" w:hAnsi="Verdana"/>
          <w:szCs w:val="24"/>
        </w:rPr>
        <w:t xml:space="preserve"> for decades</w:t>
      </w:r>
      <w:r w:rsidRPr="00656A82">
        <w:rPr>
          <w:rFonts w:ascii="Verdana" w:hAnsi="Verdana"/>
          <w:szCs w:val="24"/>
        </w:rPr>
        <w:t>.</w:t>
      </w:r>
    </w:p>
    <w:p w:rsidR="00A65761" w:rsidRPr="00656A82" w:rsidRDefault="00A65761" w:rsidP="00A61C2C">
      <w:pPr>
        <w:pStyle w:val="BodyText"/>
        <w:spacing w:line="240" w:lineRule="auto"/>
        <w:rPr>
          <w:rFonts w:ascii="Verdana" w:hAnsi="Verdana"/>
          <w:szCs w:val="24"/>
        </w:rPr>
      </w:pPr>
    </w:p>
    <w:p w:rsidR="00A61C2C" w:rsidRPr="00656A82" w:rsidRDefault="009E3E29" w:rsidP="00D43A63">
      <w:pPr>
        <w:rPr>
          <w:rFonts w:ascii="Verdana" w:hAnsi="Verdana"/>
          <w:szCs w:val="24"/>
        </w:rPr>
      </w:pPr>
      <w:r>
        <w:rPr>
          <w:rFonts w:ascii="Verdana" w:hAnsi="Verdana" w:cs="Arial"/>
          <w:sz w:val="24"/>
          <w:szCs w:val="24"/>
        </w:rPr>
        <w:t xml:space="preserve">Earlier this year we illustrated the magnitude of the problem by recasting the </w:t>
      </w:r>
      <w:hyperlink r:id="rId7" w:history="1">
        <w:r w:rsidRPr="00871AE5">
          <w:rPr>
            <w:rStyle w:val="Hyperlink"/>
            <w:rFonts w:ascii="Verdana" w:hAnsi="Verdana" w:cs="Arial"/>
            <w:sz w:val="24"/>
            <w:szCs w:val="24"/>
          </w:rPr>
          <w:t>financial statements of CVS</w:t>
        </w:r>
      </w:hyperlink>
      <w:r>
        <w:rPr>
          <w:rFonts w:ascii="Verdana" w:hAnsi="Verdana" w:cs="Arial"/>
          <w:sz w:val="24"/>
          <w:szCs w:val="24"/>
        </w:rPr>
        <w:t xml:space="preserve"> to disclose the effects of lease capitalization.  </w:t>
      </w:r>
      <w:r w:rsidR="00A65761">
        <w:rPr>
          <w:rFonts w:ascii="Verdana" w:hAnsi="Verdana" w:cs="Arial"/>
          <w:sz w:val="24"/>
          <w:szCs w:val="24"/>
        </w:rPr>
        <w:t xml:space="preserve">(We </w:t>
      </w:r>
      <w:r w:rsidR="0025414C">
        <w:rPr>
          <w:rFonts w:ascii="Verdana" w:hAnsi="Verdana" w:cs="Arial"/>
          <w:sz w:val="24"/>
          <w:szCs w:val="24"/>
        </w:rPr>
        <w:t xml:space="preserve">also </w:t>
      </w:r>
      <w:r w:rsidR="00A65761">
        <w:rPr>
          <w:rFonts w:ascii="Verdana" w:hAnsi="Verdana" w:cs="Arial"/>
          <w:sz w:val="24"/>
          <w:szCs w:val="24"/>
        </w:rPr>
        <w:t xml:space="preserve">have illustrated the effects of lease capitalization on </w:t>
      </w:r>
      <w:hyperlink r:id="rId8" w:history="1">
        <w:r w:rsidR="00A65761" w:rsidRPr="00A65761">
          <w:rPr>
            <w:rStyle w:val="Hyperlink"/>
            <w:rFonts w:ascii="Verdana" w:hAnsi="Verdana" w:cs="Arial"/>
            <w:sz w:val="24"/>
            <w:szCs w:val="24"/>
          </w:rPr>
          <w:t>Groupon</w:t>
        </w:r>
      </w:hyperlink>
      <w:r w:rsidR="00A65761">
        <w:rPr>
          <w:rFonts w:ascii="Verdana" w:hAnsi="Verdana" w:cs="Arial"/>
          <w:sz w:val="24"/>
          <w:szCs w:val="24"/>
        </w:rPr>
        <w:t xml:space="preserve"> and </w:t>
      </w:r>
      <w:hyperlink r:id="rId9" w:history="1">
        <w:r w:rsidR="00A65761" w:rsidRPr="00A65761">
          <w:rPr>
            <w:rStyle w:val="Hyperlink"/>
            <w:rFonts w:ascii="Verdana" w:hAnsi="Verdana" w:cs="Arial"/>
            <w:sz w:val="24"/>
            <w:szCs w:val="24"/>
          </w:rPr>
          <w:t>Zynga</w:t>
        </w:r>
      </w:hyperlink>
      <w:r w:rsidR="00A65761">
        <w:rPr>
          <w:rFonts w:ascii="Verdana" w:hAnsi="Verdana" w:cs="Arial"/>
          <w:sz w:val="24"/>
          <w:szCs w:val="24"/>
        </w:rPr>
        <w:t>.)</w:t>
      </w:r>
      <w:r w:rsidR="00E76415">
        <w:rPr>
          <w:rFonts w:ascii="Verdana" w:hAnsi="Verdana" w:cs="Arial"/>
          <w:sz w:val="24"/>
          <w:szCs w:val="24"/>
        </w:rPr>
        <w:t xml:space="preserve">  </w:t>
      </w:r>
      <w:r w:rsidR="00D43A63">
        <w:rPr>
          <w:rFonts w:ascii="Verdana" w:hAnsi="Verdana" w:cs="Arial"/>
          <w:sz w:val="24"/>
          <w:szCs w:val="24"/>
        </w:rPr>
        <w:t xml:space="preserve">We employed the following </w:t>
      </w:r>
      <w:r w:rsidR="00A61C2C" w:rsidRPr="00656A82">
        <w:rPr>
          <w:rFonts w:ascii="Verdana" w:hAnsi="Verdana"/>
          <w:szCs w:val="24"/>
        </w:rPr>
        <w:t>adjustment process:</w:t>
      </w:r>
      <w:r w:rsidR="0093354B">
        <w:rPr>
          <w:rFonts w:ascii="Verdana" w:hAnsi="Verdana"/>
          <w:szCs w:val="24"/>
        </w:rPr>
        <w:br/>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Find the lease cash payments.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Choose an appropriate rate of interest.</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Compute the leased assets and the lease obligations as the present value of the future cash payments.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Estimate the life of the leased assets and their current age.  With these assumptions, calculate depreciation expense and accumulated depreciation.</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Estimate the interest expense.</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Estimate the change in income taxes and deferred income taxes.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With these adjustments, prepare the adjusted income statement and the adjusted balance sheet.</w:t>
      </w:r>
    </w:p>
    <w:p w:rsidR="00797B40" w:rsidRDefault="00797B40" w:rsidP="00797B40">
      <w:pPr>
        <w:pStyle w:val="BodyText"/>
        <w:spacing w:line="240" w:lineRule="auto"/>
        <w:rPr>
          <w:rFonts w:ascii="Verdana" w:hAnsi="Verdana"/>
          <w:szCs w:val="24"/>
        </w:rPr>
      </w:pPr>
    </w:p>
    <w:p w:rsidR="00A61C2C" w:rsidRPr="00656A82" w:rsidRDefault="00797B40" w:rsidP="00A61C2C">
      <w:pPr>
        <w:pStyle w:val="BodyText"/>
        <w:spacing w:line="240" w:lineRule="auto"/>
        <w:rPr>
          <w:rFonts w:ascii="Verdana" w:hAnsi="Verdana"/>
          <w:szCs w:val="24"/>
        </w:rPr>
      </w:pPr>
      <w:r w:rsidRPr="00656A82">
        <w:rPr>
          <w:rFonts w:ascii="Verdana" w:hAnsi="Verdana"/>
          <w:szCs w:val="24"/>
        </w:rPr>
        <w:t xml:space="preserve">We carried out these steps for </w:t>
      </w:r>
      <w:hyperlink r:id="rId10" w:history="1">
        <w:r w:rsidR="001834C7" w:rsidRPr="001834C7">
          <w:rPr>
            <w:rStyle w:val="Hyperlink"/>
            <w:rFonts w:ascii="Verdana" w:hAnsi="Verdana"/>
            <w:szCs w:val="24"/>
          </w:rPr>
          <w:t>CVS Caremark</w:t>
        </w:r>
        <w:r w:rsidRPr="001834C7">
          <w:rPr>
            <w:rStyle w:val="Hyperlink"/>
            <w:rFonts w:ascii="Verdana" w:hAnsi="Verdana"/>
            <w:szCs w:val="24"/>
          </w:rPr>
          <w:t xml:space="preserve"> using its </w:t>
        </w:r>
        <w:r w:rsidR="001834C7" w:rsidRPr="001834C7">
          <w:rPr>
            <w:rStyle w:val="Hyperlink"/>
            <w:rFonts w:ascii="Verdana" w:hAnsi="Verdana"/>
            <w:szCs w:val="24"/>
          </w:rPr>
          <w:t>annual</w:t>
        </w:r>
        <w:r w:rsidRPr="001834C7">
          <w:rPr>
            <w:rStyle w:val="Hyperlink"/>
            <w:rFonts w:ascii="Verdana" w:hAnsi="Verdana"/>
            <w:szCs w:val="24"/>
          </w:rPr>
          <w:t xml:space="preserve"> </w:t>
        </w:r>
        <w:r w:rsidR="00157DE0">
          <w:rPr>
            <w:rStyle w:val="Hyperlink"/>
            <w:rFonts w:ascii="Verdana" w:hAnsi="Verdana"/>
            <w:szCs w:val="24"/>
          </w:rPr>
          <w:t xml:space="preserve">report </w:t>
        </w:r>
        <w:r w:rsidRPr="001834C7">
          <w:rPr>
            <w:rStyle w:val="Hyperlink"/>
            <w:rFonts w:ascii="Verdana" w:hAnsi="Verdana"/>
            <w:szCs w:val="24"/>
          </w:rPr>
          <w:t>for 201</w:t>
        </w:r>
        <w:r w:rsidR="001834C7" w:rsidRPr="001834C7">
          <w:rPr>
            <w:rStyle w:val="Hyperlink"/>
            <w:rFonts w:ascii="Verdana" w:hAnsi="Verdana"/>
            <w:szCs w:val="24"/>
          </w:rPr>
          <w:t>1</w:t>
        </w:r>
      </w:hyperlink>
      <w:r w:rsidR="00D43A63">
        <w:t xml:space="preserve"> </w:t>
      </w:r>
      <w:r w:rsidR="00D43A63">
        <w:rPr>
          <w:rFonts w:ascii="Verdana" w:hAnsi="Verdana"/>
          <w:szCs w:val="24"/>
        </w:rPr>
        <w:t xml:space="preserve">and </w:t>
      </w:r>
      <w:r w:rsidR="00A61C2C" w:rsidRPr="00656A82">
        <w:rPr>
          <w:rFonts w:ascii="Verdana" w:hAnsi="Verdana"/>
          <w:szCs w:val="24"/>
        </w:rPr>
        <w:t>obtain</w:t>
      </w:r>
      <w:r w:rsidRPr="00656A82">
        <w:rPr>
          <w:rFonts w:ascii="Verdana" w:hAnsi="Verdana"/>
          <w:szCs w:val="24"/>
        </w:rPr>
        <w:t xml:space="preserve">ed </w:t>
      </w:r>
      <w:r w:rsidR="00A61C2C" w:rsidRPr="00656A82">
        <w:rPr>
          <w:rFonts w:ascii="Verdana" w:hAnsi="Verdana"/>
          <w:szCs w:val="24"/>
        </w:rPr>
        <w:t xml:space="preserve">the following results (dollar amounts in </w:t>
      </w:r>
      <w:r w:rsidR="00D11F6F" w:rsidRPr="00656A82">
        <w:rPr>
          <w:rFonts w:ascii="Verdana" w:hAnsi="Verdana"/>
          <w:szCs w:val="24"/>
        </w:rPr>
        <w:t>millions</w:t>
      </w:r>
      <w:r w:rsidR="00A61C2C" w:rsidRPr="00656A82">
        <w:rPr>
          <w:rFonts w:ascii="Verdana" w:hAnsi="Verdana"/>
          <w:szCs w:val="24"/>
        </w:rPr>
        <w:t xml:space="preserve"> of dollars).</w:t>
      </w:r>
      <w:r w:rsidR="00E76415">
        <w:rPr>
          <w:rFonts w:ascii="Verdana" w:hAnsi="Verdana"/>
          <w:szCs w:val="24"/>
        </w:rPr>
        <w:t xml:space="preserve">  Previously we showed the adjusted statement effects with the present value method of amortization.  We now include a column that depicts the results if CVS had used the straight-line method.</w:t>
      </w:r>
    </w:p>
    <w:p w:rsidR="00797B40" w:rsidRDefault="00797B40" w:rsidP="00A61C2C">
      <w:pPr>
        <w:pStyle w:val="BodyText"/>
        <w:spacing w:line="240" w:lineRule="auto"/>
        <w:rPr>
          <w:rFonts w:ascii="Verdana" w:hAnsi="Verdana"/>
          <w:szCs w:val="24"/>
        </w:rPr>
      </w:pPr>
    </w:p>
    <w:p w:rsidR="00157DE0" w:rsidRPr="00656A82" w:rsidRDefault="00157DE0" w:rsidP="00A61C2C">
      <w:pPr>
        <w:pStyle w:val="BodyText"/>
        <w:spacing w:line="240" w:lineRule="auto"/>
        <w:rPr>
          <w:rFonts w:ascii="Verdana" w:hAnsi="Verdana"/>
          <w:szCs w:val="24"/>
        </w:rPr>
      </w:pPr>
    </w:p>
    <w:tbl>
      <w:tblPr>
        <w:tblW w:w="8272" w:type="dxa"/>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2"/>
        <w:gridCol w:w="1540"/>
        <w:gridCol w:w="1660"/>
        <w:gridCol w:w="1660"/>
      </w:tblGrid>
      <w:tr w:rsidR="00733575" w:rsidRPr="003E2AD6" w:rsidTr="00733575">
        <w:trPr>
          <w:trHeight w:val="300"/>
          <w:jc w:val="center"/>
        </w:trPr>
        <w:tc>
          <w:tcPr>
            <w:tcW w:w="3412" w:type="dxa"/>
            <w:noWrap/>
          </w:tcPr>
          <w:p w:rsidR="00733575" w:rsidRPr="00656A82" w:rsidRDefault="00733575" w:rsidP="00A61C2C">
            <w:pPr>
              <w:rPr>
                <w:rFonts w:ascii="Verdana" w:hAnsi="Verdana" w:cs="Courier New"/>
                <w:sz w:val="24"/>
                <w:szCs w:val="24"/>
              </w:rPr>
            </w:pPr>
          </w:p>
        </w:tc>
        <w:tc>
          <w:tcPr>
            <w:tcW w:w="1540" w:type="dxa"/>
            <w:noWrap/>
          </w:tcPr>
          <w:p w:rsidR="00733575" w:rsidRPr="00656A82" w:rsidRDefault="00733575" w:rsidP="00A61C2C">
            <w:pPr>
              <w:rPr>
                <w:rFonts w:ascii="Verdana" w:hAnsi="Verdana" w:cs="Courier New"/>
                <w:b/>
                <w:sz w:val="24"/>
                <w:szCs w:val="24"/>
                <w:u w:val="single"/>
              </w:rPr>
            </w:pPr>
          </w:p>
        </w:tc>
        <w:tc>
          <w:tcPr>
            <w:tcW w:w="1660" w:type="dxa"/>
            <w:noWrap/>
          </w:tcPr>
          <w:p w:rsidR="00733575" w:rsidRPr="00733575" w:rsidRDefault="00733575" w:rsidP="00A61C2C">
            <w:pPr>
              <w:rPr>
                <w:rFonts w:ascii="Verdana" w:hAnsi="Verdana" w:cs="Courier New"/>
                <w:b/>
                <w:sz w:val="24"/>
                <w:szCs w:val="24"/>
              </w:rPr>
            </w:pPr>
            <w:r w:rsidRPr="00733575">
              <w:rPr>
                <w:rFonts w:ascii="Verdana" w:hAnsi="Verdana" w:cs="Courier New"/>
                <w:b/>
                <w:sz w:val="24"/>
                <w:szCs w:val="24"/>
              </w:rPr>
              <w:t>Adjusted</w:t>
            </w:r>
          </w:p>
        </w:tc>
        <w:tc>
          <w:tcPr>
            <w:tcW w:w="1660" w:type="dxa"/>
          </w:tcPr>
          <w:p w:rsidR="00733575" w:rsidRPr="00733575" w:rsidRDefault="00733575" w:rsidP="00A61C2C">
            <w:pPr>
              <w:rPr>
                <w:rFonts w:ascii="Verdana" w:hAnsi="Verdana" w:cs="Courier New"/>
                <w:b/>
                <w:sz w:val="24"/>
                <w:szCs w:val="24"/>
              </w:rPr>
            </w:pPr>
            <w:r w:rsidRPr="00733575">
              <w:rPr>
                <w:rFonts w:ascii="Verdana" w:hAnsi="Verdana" w:cs="Courier New"/>
                <w:b/>
                <w:sz w:val="24"/>
                <w:szCs w:val="24"/>
              </w:rPr>
              <w:t>Adjusted</w:t>
            </w:r>
          </w:p>
        </w:tc>
      </w:tr>
      <w:tr w:rsidR="001834C7" w:rsidRPr="003E2AD6" w:rsidTr="00733575">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656A82" w:rsidRDefault="001834C7" w:rsidP="00A61C2C">
            <w:pPr>
              <w:rPr>
                <w:rFonts w:ascii="Verdana" w:hAnsi="Verdana" w:cs="Courier New"/>
                <w:b/>
                <w:sz w:val="24"/>
                <w:szCs w:val="24"/>
                <w:u w:val="single"/>
              </w:rPr>
            </w:pPr>
            <w:r w:rsidRPr="00656A82">
              <w:rPr>
                <w:rFonts w:ascii="Verdana" w:hAnsi="Verdana" w:cs="Courier New"/>
                <w:b/>
                <w:sz w:val="24"/>
                <w:szCs w:val="24"/>
                <w:u w:val="single"/>
              </w:rPr>
              <w:t>Reported</w:t>
            </w:r>
          </w:p>
        </w:tc>
        <w:tc>
          <w:tcPr>
            <w:tcW w:w="1660" w:type="dxa"/>
            <w:noWrap/>
          </w:tcPr>
          <w:p w:rsidR="001834C7" w:rsidRPr="00733575" w:rsidRDefault="001834C7" w:rsidP="00733575">
            <w:pPr>
              <w:rPr>
                <w:rFonts w:ascii="Verdana" w:hAnsi="Verdana" w:cs="Courier New"/>
                <w:b/>
                <w:sz w:val="24"/>
                <w:szCs w:val="24"/>
                <w:u w:val="single"/>
              </w:rPr>
            </w:pPr>
            <w:r w:rsidRPr="00656A82">
              <w:rPr>
                <w:rFonts w:ascii="Verdana" w:hAnsi="Verdana" w:cs="Courier New"/>
                <w:b/>
                <w:sz w:val="24"/>
                <w:szCs w:val="24"/>
              </w:rPr>
              <w:t xml:space="preserve"> </w:t>
            </w:r>
            <w:r w:rsidR="00733575" w:rsidRPr="00733575">
              <w:rPr>
                <w:rFonts w:ascii="Verdana" w:hAnsi="Verdana" w:cs="Courier New"/>
                <w:b/>
                <w:sz w:val="24"/>
                <w:szCs w:val="24"/>
                <w:u w:val="single"/>
              </w:rPr>
              <w:t>PV Depr.</w:t>
            </w:r>
          </w:p>
        </w:tc>
        <w:tc>
          <w:tcPr>
            <w:tcW w:w="1660" w:type="dxa"/>
          </w:tcPr>
          <w:p w:rsidR="001834C7" w:rsidRPr="003E2AD6" w:rsidRDefault="00733575" w:rsidP="00A61C2C">
            <w:pPr>
              <w:rPr>
                <w:rFonts w:ascii="Verdana" w:hAnsi="Verdana" w:cs="Courier New"/>
                <w:b/>
                <w:sz w:val="24"/>
                <w:szCs w:val="24"/>
                <w:u w:val="single"/>
              </w:rPr>
            </w:pPr>
            <w:r>
              <w:rPr>
                <w:rFonts w:ascii="Verdana" w:hAnsi="Verdana" w:cs="Courier New"/>
                <w:b/>
                <w:sz w:val="24"/>
                <w:szCs w:val="24"/>
                <w:u w:val="single"/>
              </w:rPr>
              <w:t>S-L Depr.</w:t>
            </w:r>
          </w:p>
        </w:tc>
      </w:tr>
      <w:tr w:rsidR="001834C7" w:rsidRPr="00656A82" w:rsidTr="00733575">
        <w:trPr>
          <w:trHeight w:val="300"/>
          <w:jc w:val="center"/>
        </w:trPr>
        <w:tc>
          <w:tcPr>
            <w:tcW w:w="3412" w:type="dxa"/>
            <w:noWrap/>
          </w:tcPr>
          <w:p w:rsidR="001834C7" w:rsidRPr="00656A82" w:rsidRDefault="001834C7" w:rsidP="00797B40">
            <w:pPr>
              <w:rPr>
                <w:rFonts w:ascii="Verdana" w:hAnsi="Verdana" w:cs="Courier New"/>
                <w:sz w:val="24"/>
                <w:szCs w:val="24"/>
              </w:rPr>
            </w:pPr>
            <w:r w:rsidRPr="00656A82">
              <w:rPr>
                <w:rFonts w:ascii="Verdana" w:hAnsi="Verdana" w:cs="Courier New"/>
                <w:sz w:val="24"/>
                <w:szCs w:val="24"/>
              </w:rPr>
              <w:t>Net income</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3,461</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2,932</w:t>
            </w:r>
          </w:p>
        </w:tc>
        <w:tc>
          <w:tcPr>
            <w:tcW w:w="1660" w:type="dxa"/>
          </w:tcPr>
          <w:p w:rsidR="001834C7" w:rsidRPr="003E2AD6" w:rsidRDefault="00032737" w:rsidP="00032737">
            <w:pPr>
              <w:jc w:val="right"/>
              <w:rPr>
                <w:rFonts w:ascii="Courier New" w:hAnsi="Courier New" w:cs="Courier New"/>
                <w:sz w:val="24"/>
                <w:szCs w:val="24"/>
              </w:rPr>
            </w:pPr>
            <w:r>
              <w:rPr>
                <w:rFonts w:ascii="Courier New" w:hAnsi="Courier New" w:cs="Courier New"/>
                <w:sz w:val="24"/>
                <w:szCs w:val="24"/>
              </w:rPr>
              <w:t>3,022</w:t>
            </w: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3E2AD6" w:rsidRDefault="001834C7" w:rsidP="00A61C2C">
            <w:pPr>
              <w:jc w:val="right"/>
              <w:rPr>
                <w:rFonts w:ascii="Courier New" w:hAnsi="Courier New" w:cs="Courier New"/>
                <w:sz w:val="24"/>
                <w:szCs w:val="24"/>
              </w:rPr>
            </w:pPr>
          </w:p>
        </w:tc>
        <w:tc>
          <w:tcPr>
            <w:tcW w:w="1660" w:type="dxa"/>
            <w:noWrap/>
          </w:tcPr>
          <w:p w:rsidR="001834C7" w:rsidRPr="003E2AD6" w:rsidRDefault="001834C7" w:rsidP="00A61C2C">
            <w:pPr>
              <w:jc w:val="right"/>
              <w:rPr>
                <w:rFonts w:ascii="Courier New" w:hAnsi="Courier New" w:cs="Courier New"/>
                <w:sz w:val="24"/>
                <w:szCs w:val="24"/>
              </w:rPr>
            </w:pPr>
          </w:p>
        </w:tc>
        <w:tc>
          <w:tcPr>
            <w:tcW w:w="1660" w:type="dxa"/>
          </w:tcPr>
          <w:p w:rsidR="001834C7" w:rsidRPr="003E2AD6" w:rsidRDefault="001834C7" w:rsidP="00032737">
            <w:pPr>
              <w:jc w:val="right"/>
              <w:rPr>
                <w:rFonts w:ascii="Courier New" w:hAnsi="Courier New" w:cs="Courier New"/>
                <w:sz w:val="24"/>
                <w:szCs w:val="24"/>
              </w:rPr>
            </w:pPr>
          </w:p>
        </w:tc>
      </w:tr>
      <w:tr w:rsidR="003E2AD6" w:rsidRPr="00656A82" w:rsidTr="00733575">
        <w:trPr>
          <w:trHeight w:val="300"/>
          <w:jc w:val="center"/>
        </w:trPr>
        <w:tc>
          <w:tcPr>
            <w:tcW w:w="3412" w:type="dxa"/>
            <w:noWrap/>
          </w:tcPr>
          <w:p w:rsidR="003E2AD6" w:rsidRPr="00656A82" w:rsidRDefault="003E2AD6" w:rsidP="00A61C2C">
            <w:pPr>
              <w:rPr>
                <w:rFonts w:ascii="Verdana" w:hAnsi="Verdana" w:cs="Courier New"/>
                <w:sz w:val="24"/>
                <w:szCs w:val="24"/>
              </w:rPr>
            </w:pPr>
            <w:r>
              <w:rPr>
                <w:rFonts w:ascii="Verdana" w:hAnsi="Verdana" w:cs="Courier New"/>
                <w:sz w:val="24"/>
                <w:szCs w:val="24"/>
              </w:rPr>
              <w:t>Current Assets</w:t>
            </w:r>
          </w:p>
        </w:tc>
        <w:tc>
          <w:tcPr>
            <w:tcW w:w="1540" w:type="dxa"/>
            <w:noWrap/>
          </w:tcPr>
          <w:p w:rsidR="003E2AD6"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18,594</w:t>
            </w:r>
          </w:p>
        </w:tc>
        <w:tc>
          <w:tcPr>
            <w:tcW w:w="1660" w:type="dxa"/>
            <w:noWrap/>
          </w:tcPr>
          <w:p w:rsidR="003E2AD6"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18,954</w:t>
            </w:r>
          </w:p>
        </w:tc>
        <w:tc>
          <w:tcPr>
            <w:tcW w:w="1660" w:type="dxa"/>
          </w:tcPr>
          <w:p w:rsidR="003E2AD6" w:rsidRPr="003E2AD6" w:rsidRDefault="00032737" w:rsidP="00032737">
            <w:pPr>
              <w:jc w:val="right"/>
              <w:rPr>
                <w:rFonts w:ascii="Courier New" w:hAnsi="Courier New" w:cs="Courier New"/>
                <w:sz w:val="24"/>
                <w:szCs w:val="24"/>
              </w:rPr>
            </w:pPr>
            <w:r>
              <w:rPr>
                <w:rFonts w:ascii="Courier New" w:hAnsi="Courier New" w:cs="Courier New"/>
                <w:sz w:val="24"/>
                <w:szCs w:val="24"/>
              </w:rPr>
              <w:t>18,954</w:t>
            </w:r>
          </w:p>
        </w:tc>
      </w:tr>
      <w:tr w:rsidR="001D58BB" w:rsidRPr="00656A82" w:rsidTr="00733575">
        <w:trPr>
          <w:trHeight w:val="300"/>
          <w:jc w:val="center"/>
        </w:trPr>
        <w:tc>
          <w:tcPr>
            <w:tcW w:w="3412" w:type="dxa"/>
            <w:noWrap/>
          </w:tcPr>
          <w:p w:rsidR="001D58BB" w:rsidRDefault="001D58BB" w:rsidP="00A61C2C">
            <w:pPr>
              <w:rPr>
                <w:rFonts w:ascii="Verdana" w:hAnsi="Verdana" w:cs="Courier New"/>
                <w:sz w:val="24"/>
                <w:szCs w:val="24"/>
              </w:rPr>
            </w:pPr>
            <w:r>
              <w:rPr>
                <w:rFonts w:ascii="Verdana" w:hAnsi="Verdana" w:cs="Courier New"/>
                <w:sz w:val="24"/>
                <w:szCs w:val="24"/>
              </w:rPr>
              <w:t>Long-term Assets</w:t>
            </w:r>
          </w:p>
        </w:tc>
        <w:tc>
          <w:tcPr>
            <w:tcW w:w="1540" w:type="dxa"/>
            <w:noWrap/>
          </w:tcPr>
          <w:p w:rsidR="001D58BB" w:rsidRPr="003E2AD6" w:rsidRDefault="001D58BB" w:rsidP="00A61C2C">
            <w:pPr>
              <w:jc w:val="right"/>
              <w:rPr>
                <w:rFonts w:ascii="Courier New" w:hAnsi="Courier New" w:cs="Courier New"/>
                <w:sz w:val="24"/>
                <w:szCs w:val="24"/>
              </w:rPr>
            </w:pPr>
            <w:r>
              <w:rPr>
                <w:rFonts w:ascii="Courier New" w:hAnsi="Courier New" w:cs="Courier New"/>
                <w:sz w:val="24"/>
                <w:szCs w:val="24"/>
              </w:rPr>
              <w:t>45,949</w:t>
            </w:r>
          </w:p>
        </w:tc>
        <w:tc>
          <w:tcPr>
            <w:tcW w:w="1660" w:type="dxa"/>
            <w:noWrap/>
          </w:tcPr>
          <w:p w:rsidR="001D58BB" w:rsidRPr="003E2AD6" w:rsidRDefault="001D58BB" w:rsidP="00A61C2C">
            <w:pPr>
              <w:jc w:val="right"/>
              <w:rPr>
                <w:rFonts w:ascii="Courier New" w:hAnsi="Courier New" w:cs="Courier New"/>
                <w:sz w:val="24"/>
                <w:szCs w:val="24"/>
              </w:rPr>
            </w:pPr>
            <w:r>
              <w:rPr>
                <w:rFonts w:ascii="Courier New" w:hAnsi="Courier New" w:cs="Courier New"/>
                <w:sz w:val="24"/>
                <w:szCs w:val="24"/>
              </w:rPr>
              <w:t>54,746</w:t>
            </w:r>
          </w:p>
        </w:tc>
        <w:tc>
          <w:tcPr>
            <w:tcW w:w="1660" w:type="dxa"/>
          </w:tcPr>
          <w:p w:rsidR="001D58BB" w:rsidRPr="003E2AD6" w:rsidRDefault="00032737" w:rsidP="00032737">
            <w:pPr>
              <w:jc w:val="right"/>
              <w:rPr>
                <w:rFonts w:ascii="Courier New" w:hAnsi="Courier New" w:cs="Courier New"/>
                <w:sz w:val="24"/>
                <w:szCs w:val="24"/>
              </w:rPr>
            </w:pPr>
            <w:r>
              <w:rPr>
                <w:rFonts w:ascii="Courier New" w:hAnsi="Courier New" w:cs="Courier New"/>
                <w:sz w:val="24"/>
                <w:szCs w:val="24"/>
              </w:rPr>
              <w:t>54,746</w:t>
            </w: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Total Assets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64,543</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73,700</w:t>
            </w:r>
          </w:p>
        </w:tc>
        <w:tc>
          <w:tcPr>
            <w:tcW w:w="1660" w:type="dxa"/>
          </w:tcPr>
          <w:p w:rsidR="001834C7" w:rsidRPr="003E2AD6" w:rsidRDefault="00032737" w:rsidP="00032737">
            <w:pPr>
              <w:jc w:val="right"/>
              <w:rPr>
                <w:rFonts w:ascii="Courier New" w:hAnsi="Courier New" w:cs="Courier New"/>
                <w:sz w:val="24"/>
                <w:szCs w:val="24"/>
              </w:rPr>
            </w:pPr>
            <w:r>
              <w:rPr>
                <w:rFonts w:ascii="Courier New" w:hAnsi="Courier New" w:cs="Courier New"/>
                <w:sz w:val="24"/>
                <w:szCs w:val="24"/>
              </w:rPr>
              <w:t>73,700</w:t>
            </w: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3E2AD6" w:rsidRDefault="001834C7" w:rsidP="00A61C2C">
            <w:pPr>
              <w:rPr>
                <w:rFonts w:ascii="Courier New" w:hAnsi="Courier New" w:cs="Courier New"/>
                <w:sz w:val="24"/>
                <w:szCs w:val="24"/>
              </w:rPr>
            </w:pPr>
          </w:p>
        </w:tc>
        <w:tc>
          <w:tcPr>
            <w:tcW w:w="1660" w:type="dxa"/>
            <w:noWrap/>
          </w:tcPr>
          <w:p w:rsidR="001834C7" w:rsidRPr="003E2AD6" w:rsidRDefault="001834C7" w:rsidP="00A61C2C">
            <w:pPr>
              <w:rPr>
                <w:rFonts w:ascii="Courier New" w:hAnsi="Courier New" w:cs="Courier New"/>
                <w:sz w:val="24"/>
                <w:szCs w:val="24"/>
              </w:rPr>
            </w:pPr>
          </w:p>
        </w:tc>
        <w:tc>
          <w:tcPr>
            <w:tcW w:w="1660" w:type="dxa"/>
          </w:tcPr>
          <w:p w:rsidR="001834C7" w:rsidRPr="003E2AD6" w:rsidRDefault="001834C7" w:rsidP="00032737">
            <w:pPr>
              <w:jc w:val="right"/>
              <w:rPr>
                <w:rFonts w:ascii="Courier New" w:hAnsi="Courier New" w:cs="Courier New"/>
                <w:sz w:val="24"/>
                <w:szCs w:val="24"/>
              </w:rPr>
            </w:pP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Current Debts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11,956</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14,002</w:t>
            </w:r>
          </w:p>
        </w:tc>
        <w:tc>
          <w:tcPr>
            <w:tcW w:w="1660" w:type="dxa"/>
          </w:tcPr>
          <w:p w:rsidR="001834C7" w:rsidRPr="003E2AD6" w:rsidRDefault="00032737" w:rsidP="00032737">
            <w:pPr>
              <w:jc w:val="right"/>
              <w:rPr>
                <w:rFonts w:ascii="Courier New" w:hAnsi="Courier New" w:cs="Courier New"/>
                <w:sz w:val="24"/>
                <w:szCs w:val="24"/>
              </w:rPr>
            </w:pPr>
            <w:r>
              <w:rPr>
                <w:rFonts w:ascii="Courier New" w:hAnsi="Courier New" w:cs="Courier New"/>
                <w:sz w:val="24"/>
                <w:szCs w:val="24"/>
              </w:rPr>
              <w:t>14,002</w:t>
            </w: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lastRenderedPageBreak/>
              <w:t>Long-term debts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14,536</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27,755</w:t>
            </w:r>
          </w:p>
        </w:tc>
        <w:tc>
          <w:tcPr>
            <w:tcW w:w="1660" w:type="dxa"/>
          </w:tcPr>
          <w:p w:rsidR="001834C7" w:rsidRPr="003E2AD6" w:rsidRDefault="00032737" w:rsidP="00032737">
            <w:pPr>
              <w:jc w:val="right"/>
              <w:rPr>
                <w:rFonts w:ascii="Courier New" w:hAnsi="Courier New" w:cs="Courier New"/>
                <w:sz w:val="24"/>
                <w:szCs w:val="24"/>
              </w:rPr>
            </w:pPr>
            <w:r>
              <w:rPr>
                <w:rFonts w:ascii="Courier New" w:hAnsi="Courier New" w:cs="Courier New"/>
                <w:sz w:val="24"/>
                <w:szCs w:val="24"/>
              </w:rPr>
              <w:t>27,203</w:t>
            </w:r>
          </w:p>
        </w:tc>
      </w:tr>
      <w:tr w:rsidR="001834C7" w:rsidRPr="00656A82" w:rsidTr="00733575">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Stockholders’ Equity</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38,051</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31,943</w:t>
            </w:r>
          </w:p>
        </w:tc>
        <w:tc>
          <w:tcPr>
            <w:tcW w:w="1660" w:type="dxa"/>
          </w:tcPr>
          <w:p w:rsidR="001834C7" w:rsidRPr="003E2AD6" w:rsidRDefault="00032737" w:rsidP="00032737">
            <w:pPr>
              <w:jc w:val="right"/>
              <w:rPr>
                <w:rFonts w:ascii="Courier New" w:hAnsi="Courier New" w:cs="Courier New"/>
                <w:sz w:val="24"/>
                <w:szCs w:val="24"/>
              </w:rPr>
            </w:pPr>
            <w:r>
              <w:rPr>
                <w:rFonts w:ascii="Courier New" w:hAnsi="Courier New" w:cs="Courier New"/>
                <w:sz w:val="24"/>
                <w:szCs w:val="24"/>
              </w:rPr>
              <w:t>32,495</w:t>
            </w:r>
          </w:p>
        </w:tc>
      </w:tr>
    </w:tbl>
    <w:p w:rsidR="00A61C2C" w:rsidRDefault="00A61C2C" w:rsidP="00A61C2C">
      <w:pPr>
        <w:pStyle w:val="BodyText"/>
        <w:spacing w:line="240" w:lineRule="auto"/>
        <w:rPr>
          <w:rFonts w:ascii="Verdana" w:hAnsi="Verdana"/>
          <w:szCs w:val="24"/>
        </w:rPr>
      </w:pPr>
    </w:p>
    <w:p w:rsidR="00157DE0" w:rsidRPr="00656A82" w:rsidRDefault="00DB7039" w:rsidP="00A61C2C">
      <w:pPr>
        <w:pStyle w:val="BodyText"/>
        <w:spacing w:line="240" w:lineRule="auto"/>
        <w:rPr>
          <w:rFonts w:ascii="Verdana" w:hAnsi="Verdana"/>
          <w:szCs w:val="24"/>
        </w:rPr>
      </w:pPr>
      <w:r>
        <w:rPr>
          <w:rFonts w:ascii="Verdana" w:hAnsi="Verdana"/>
          <w:szCs w:val="24"/>
        </w:rPr>
        <w:t>What is a</w:t>
      </w:r>
      <w:r w:rsidR="0025414C">
        <w:rPr>
          <w:rFonts w:ascii="Verdana" w:hAnsi="Verdana"/>
          <w:szCs w:val="24"/>
        </w:rPr>
        <w:t>t</w:t>
      </w:r>
      <w:r>
        <w:rPr>
          <w:rFonts w:ascii="Verdana" w:hAnsi="Verdana"/>
          <w:szCs w:val="24"/>
        </w:rPr>
        <w:t xml:space="preserve"> stake is whether the FASB (and the IASB) will fend off political and managerial pressure</w:t>
      </w:r>
      <w:r w:rsidR="0025414C">
        <w:rPr>
          <w:rFonts w:ascii="Verdana" w:hAnsi="Verdana"/>
          <w:szCs w:val="24"/>
        </w:rPr>
        <w:t>s</w:t>
      </w:r>
      <w:r>
        <w:rPr>
          <w:rFonts w:ascii="Verdana" w:hAnsi="Verdana"/>
          <w:szCs w:val="24"/>
        </w:rPr>
        <w:t xml:space="preserve"> and promulgate </w:t>
      </w:r>
      <w:r w:rsidR="0025414C">
        <w:rPr>
          <w:rFonts w:ascii="Verdana" w:hAnsi="Verdana"/>
          <w:szCs w:val="24"/>
        </w:rPr>
        <w:t xml:space="preserve">rules that will give us </w:t>
      </w:r>
      <w:r>
        <w:rPr>
          <w:rFonts w:ascii="Verdana" w:hAnsi="Verdana"/>
          <w:szCs w:val="24"/>
        </w:rPr>
        <w:t xml:space="preserve">useful </w:t>
      </w:r>
      <w:r w:rsidR="00924774">
        <w:rPr>
          <w:rFonts w:ascii="Verdana" w:hAnsi="Verdana"/>
          <w:szCs w:val="24"/>
        </w:rPr>
        <w:t xml:space="preserve">lease </w:t>
      </w:r>
      <w:r>
        <w:rPr>
          <w:rFonts w:ascii="Verdana" w:hAnsi="Verdana"/>
          <w:szCs w:val="24"/>
        </w:rPr>
        <w:t>accounting numbers.  Note the large increase in long-term assets and the even higher increases in long-term debts.  In addition</w:t>
      </w:r>
      <w:r w:rsidR="00924774">
        <w:rPr>
          <w:rFonts w:ascii="Verdana" w:hAnsi="Verdana"/>
          <w:szCs w:val="24"/>
        </w:rPr>
        <w:t>,</w:t>
      </w:r>
      <w:r>
        <w:rPr>
          <w:rFonts w:ascii="Verdana" w:hAnsi="Verdana"/>
          <w:szCs w:val="24"/>
        </w:rPr>
        <w:t xml:space="preserve"> both of the adjustment methods generate less net income</w:t>
      </w:r>
      <w:r w:rsidR="00D526F1">
        <w:rPr>
          <w:rFonts w:ascii="Verdana" w:hAnsi="Verdana"/>
          <w:szCs w:val="24"/>
        </w:rPr>
        <w:t xml:space="preserve"> than the </w:t>
      </w:r>
      <w:r w:rsidR="00924774">
        <w:rPr>
          <w:rFonts w:ascii="Verdana" w:hAnsi="Verdana"/>
          <w:szCs w:val="24"/>
        </w:rPr>
        <w:t xml:space="preserve">originally </w:t>
      </w:r>
      <w:r w:rsidR="00D526F1">
        <w:rPr>
          <w:rFonts w:ascii="Verdana" w:hAnsi="Verdana"/>
          <w:szCs w:val="24"/>
        </w:rPr>
        <w:t>reported amount</w:t>
      </w:r>
      <w:r w:rsidR="00924774">
        <w:rPr>
          <w:rFonts w:ascii="Verdana" w:hAnsi="Verdana"/>
          <w:szCs w:val="24"/>
        </w:rPr>
        <w:t>.  And yes</w:t>
      </w:r>
      <w:r>
        <w:rPr>
          <w:rFonts w:ascii="Verdana" w:hAnsi="Verdana"/>
          <w:szCs w:val="24"/>
        </w:rPr>
        <w:t xml:space="preserve">, these </w:t>
      </w:r>
      <w:r w:rsidR="00924774">
        <w:rPr>
          <w:rFonts w:ascii="Verdana" w:hAnsi="Verdana"/>
          <w:szCs w:val="24"/>
        </w:rPr>
        <w:t xml:space="preserve">revised </w:t>
      </w:r>
      <w:r>
        <w:rPr>
          <w:rFonts w:ascii="Verdana" w:hAnsi="Verdana"/>
          <w:szCs w:val="24"/>
        </w:rPr>
        <w:t xml:space="preserve">numbers </w:t>
      </w:r>
      <w:r w:rsidR="00924774">
        <w:rPr>
          <w:rFonts w:ascii="Verdana" w:hAnsi="Verdana"/>
          <w:szCs w:val="24"/>
        </w:rPr>
        <w:t xml:space="preserve">better </w:t>
      </w:r>
      <w:r>
        <w:rPr>
          <w:rFonts w:ascii="Verdana" w:hAnsi="Verdana"/>
          <w:szCs w:val="24"/>
        </w:rPr>
        <w:t xml:space="preserve">approximate economic reality </w:t>
      </w:r>
      <w:r w:rsidR="00924774">
        <w:rPr>
          <w:rFonts w:ascii="Verdana" w:hAnsi="Verdana"/>
          <w:szCs w:val="24"/>
        </w:rPr>
        <w:t xml:space="preserve">than </w:t>
      </w:r>
      <w:r>
        <w:rPr>
          <w:rFonts w:ascii="Verdana" w:hAnsi="Verdana"/>
          <w:szCs w:val="24"/>
        </w:rPr>
        <w:t xml:space="preserve">the GAAP numbers </w:t>
      </w:r>
      <w:r w:rsidR="00924774">
        <w:rPr>
          <w:rFonts w:ascii="Verdana" w:hAnsi="Verdana"/>
          <w:szCs w:val="24"/>
        </w:rPr>
        <w:t xml:space="preserve">reported, which </w:t>
      </w:r>
      <w:r>
        <w:rPr>
          <w:rFonts w:ascii="Verdana" w:hAnsi="Verdana"/>
          <w:szCs w:val="24"/>
        </w:rPr>
        <w:t xml:space="preserve">are </w:t>
      </w:r>
      <w:r w:rsidR="00924774">
        <w:rPr>
          <w:rFonts w:ascii="Verdana" w:hAnsi="Verdana"/>
          <w:szCs w:val="24"/>
        </w:rPr>
        <w:t xml:space="preserve">just </w:t>
      </w:r>
      <w:r>
        <w:rPr>
          <w:rFonts w:ascii="Verdana" w:hAnsi="Verdana"/>
          <w:szCs w:val="24"/>
        </w:rPr>
        <w:t xml:space="preserve">wrong.  </w:t>
      </w:r>
      <w:r w:rsidR="00924774">
        <w:rPr>
          <w:rFonts w:ascii="Verdana" w:hAnsi="Verdana"/>
          <w:szCs w:val="24"/>
        </w:rPr>
        <w:t>As we have suggested so many times, GAAP compliance does not guarantee transparency and financial statement quality.  Current lease accounting is an excellent example.</w:t>
      </w:r>
    </w:p>
    <w:p w:rsidR="00656A82" w:rsidRPr="00656A82" w:rsidRDefault="00656A82" w:rsidP="00A61C2C">
      <w:pPr>
        <w:pStyle w:val="BodyText"/>
        <w:spacing w:line="240" w:lineRule="auto"/>
        <w:rPr>
          <w:rFonts w:ascii="Verdana" w:hAnsi="Verdana"/>
          <w:szCs w:val="24"/>
        </w:rPr>
      </w:pPr>
    </w:p>
    <w:p w:rsidR="00A01D1E" w:rsidRDefault="00A01D1E" w:rsidP="00A61C2C">
      <w:pPr>
        <w:pStyle w:val="BodyText"/>
        <w:spacing w:line="240" w:lineRule="auto"/>
        <w:rPr>
          <w:rFonts w:ascii="Verdana" w:hAnsi="Verdana"/>
          <w:szCs w:val="24"/>
        </w:rPr>
      </w:pPr>
      <w:r>
        <w:rPr>
          <w:rFonts w:ascii="Verdana" w:hAnsi="Verdana"/>
          <w:szCs w:val="24"/>
        </w:rPr>
        <w:t xml:space="preserve">The </w:t>
      </w:r>
      <w:hyperlink r:id="rId11" w:history="1">
        <w:r w:rsidRPr="00A01D1E">
          <w:rPr>
            <w:rStyle w:val="Hyperlink"/>
            <w:rFonts w:ascii="Verdana" w:hAnsi="Verdana"/>
            <w:szCs w:val="24"/>
          </w:rPr>
          <w:t>Equipment Leasing and Financing Foundation</w:t>
        </w:r>
      </w:hyperlink>
      <w:r>
        <w:rPr>
          <w:rFonts w:ascii="Verdana" w:hAnsi="Verdana"/>
          <w:szCs w:val="24"/>
        </w:rPr>
        <w:t xml:space="preserve"> and the </w:t>
      </w:r>
      <w:hyperlink r:id="rId12" w:history="1">
        <w:r w:rsidRPr="00A01D1E">
          <w:rPr>
            <w:rStyle w:val="Hyperlink"/>
            <w:rFonts w:ascii="Verdana" w:hAnsi="Verdana"/>
            <w:szCs w:val="24"/>
          </w:rPr>
          <w:t>Chamber of Commerce</w:t>
        </w:r>
      </w:hyperlink>
      <w:r>
        <w:rPr>
          <w:rFonts w:ascii="Verdana" w:hAnsi="Verdana"/>
          <w:szCs w:val="24"/>
        </w:rPr>
        <w:t xml:space="preserve"> have commissioned “research” reports that </w:t>
      </w:r>
      <w:r w:rsidR="00924774">
        <w:rPr>
          <w:rFonts w:ascii="Verdana" w:hAnsi="Verdana"/>
          <w:szCs w:val="24"/>
        </w:rPr>
        <w:t xml:space="preserve">also </w:t>
      </w:r>
      <w:r>
        <w:rPr>
          <w:rFonts w:ascii="Verdana" w:hAnsi="Verdana"/>
          <w:szCs w:val="24"/>
        </w:rPr>
        <w:t xml:space="preserve">claim the </w:t>
      </w:r>
      <w:r w:rsidR="00924774">
        <w:rPr>
          <w:rFonts w:ascii="Verdana" w:hAnsi="Verdana"/>
          <w:szCs w:val="24"/>
        </w:rPr>
        <w:t>“</w:t>
      </w:r>
      <w:r>
        <w:rPr>
          <w:rFonts w:ascii="Verdana" w:hAnsi="Verdana"/>
          <w:szCs w:val="24"/>
        </w:rPr>
        <w:t>sky will fall</w:t>
      </w:r>
      <w:r w:rsidR="00924774">
        <w:rPr>
          <w:rFonts w:ascii="Verdana" w:hAnsi="Verdana"/>
          <w:szCs w:val="24"/>
        </w:rPr>
        <w:t>”</w:t>
      </w:r>
      <w:r>
        <w:rPr>
          <w:rFonts w:ascii="Verdana" w:hAnsi="Verdana"/>
          <w:szCs w:val="24"/>
        </w:rPr>
        <w:t xml:space="preserve"> if we capitalize leases.  </w:t>
      </w:r>
      <w:r w:rsidR="00D526F1">
        <w:rPr>
          <w:rFonts w:ascii="Verdana" w:hAnsi="Verdana"/>
          <w:szCs w:val="24"/>
        </w:rPr>
        <w:t>This is nuts.  As we demonstrated in our criticisms of these reports, users believe that lease obligations are real liabilities</w:t>
      </w:r>
      <w:r w:rsidR="00924774">
        <w:rPr>
          <w:rFonts w:ascii="Verdana" w:hAnsi="Verdana"/>
          <w:szCs w:val="24"/>
        </w:rPr>
        <w:t>,</w:t>
      </w:r>
      <w:r w:rsidR="00D526F1">
        <w:rPr>
          <w:rFonts w:ascii="Verdana" w:hAnsi="Verdana"/>
          <w:szCs w:val="24"/>
        </w:rPr>
        <w:t xml:space="preserve"> and they need to be recognized by the business entity.</w:t>
      </w:r>
    </w:p>
    <w:p w:rsidR="00A01D1E" w:rsidRDefault="00A01D1E" w:rsidP="00A61C2C">
      <w:pPr>
        <w:pStyle w:val="BodyText"/>
        <w:spacing w:line="240" w:lineRule="auto"/>
        <w:rPr>
          <w:rFonts w:ascii="Verdana" w:hAnsi="Verdana"/>
          <w:szCs w:val="24"/>
        </w:rPr>
      </w:pPr>
    </w:p>
    <w:p w:rsidR="00DB7039" w:rsidRDefault="00DB7039" w:rsidP="00A61C2C">
      <w:pPr>
        <w:pStyle w:val="BodyText"/>
        <w:spacing w:line="240" w:lineRule="auto"/>
        <w:rPr>
          <w:rFonts w:ascii="Verdana" w:hAnsi="Verdana"/>
          <w:szCs w:val="24"/>
        </w:rPr>
      </w:pPr>
      <w:r>
        <w:rPr>
          <w:rFonts w:ascii="Verdana" w:hAnsi="Verdana"/>
          <w:szCs w:val="24"/>
        </w:rPr>
        <w:t xml:space="preserve">One could argue that the capitalization of operating leases is unnecessary because outsiders like us can use FASB disclosures to adjust the statements if they wish.  The fallacy of this argument is that we have to employ a number of assumptions when preparing this adjustment, thereby creating estimation errors.  Corporate preparation and dissemination </w:t>
      </w:r>
      <w:r w:rsidR="00924774">
        <w:rPr>
          <w:rFonts w:ascii="Verdana" w:hAnsi="Verdana"/>
          <w:szCs w:val="24"/>
        </w:rPr>
        <w:t>of the proper numbers reduces</w:t>
      </w:r>
      <w:r>
        <w:rPr>
          <w:rFonts w:ascii="Verdana" w:hAnsi="Verdana"/>
          <w:szCs w:val="24"/>
        </w:rPr>
        <w:t xml:space="preserve"> such errors.</w:t>
      </w:r>
    </w:p>
    <w:p w:rsidR="00DB7039" w:rsidRDefault="00DB7039" w:rsidP="00A61C2C">
      <w:pPr>
        <w:pStyle w:val="BodyText"/>
        <w:spacing w:line="240" w:lineRule="auto"/>
        <w:rPr>
          <w:rFonts w:ascii="Verdana" w:hAnsi="Verdana"/>
          <w:szCs w:val="24"/>
        </w:rPr>
      </w:pPr>
    </w:p>
    <w:p w:rsidR="00A61C2C" w:rsidRPr="00656A82" w:rsidRDefault="00DB7039" w:rsidP="00A61C2C">
      <w:pPr>
        <w:pStyle w:val="BodyText"/>
        <w:spacing w:line="240" w:lineRule="auto"/>
        <w:rPr>
          <w:rFonts w:ascii="Verdana" w:hAnsi="Verdana"/>
          <w:szCs w:val="24"/>
        </w:rPr>
      </w:pPr>
      <w:r>
        <w:rPr>
          <w:rFonts w:ascii="Verdana" w:hAnsi="Verdana"/>
          <w:szCs w:val="24"/>
        </w:rPr>
        <w:t>We hear a lot about principles-based accounting, but principles-based accounting still requires principles-based regulators</w:t>
      </w:r>
      <w:r w:rsidR="00924774">
        <w:rPr>
          <w:rFonts w:ascii="Verdana" w:hAnsi="Verdana"/>
          <w:szCs w:val="24"/>
        </w:rPr>
        <w:t xml:space="preserve"> (and intestinal fortitude)</w:t>
      </w:r>
      <w:r>
        <w:rPr>
          <w:rFonts w:ascii="Verdana" w:hAnsi="Verdana"/>
          <w:szCs w:val="24"/>
        </w:rPr>
        <w:t xml:space="preserve">.  If the FASB and the IASB cannot use their own definitions of liability to comprehend the fact that lease obligations are indeed liabilities, then financial reporting is in trouble.  </w:t>
      </w:r>
      <w:r w:rsidR="0093354B">
        <w:rPr>
          <w:rFonts w:ascii="Verdana" w:hAnsi="Verdana"/>
          <w:szCs w:val="24"/>
        </w:rPr>
        <w:t>T</w:t>
      </w:r>
      <w:r w:rsidR="00A61C2C" w:rsidRPr="00656A82">
        <w:rPr>
          <w:rFonts w:ascii="Verdana" w:hAnsi="Verdana"/>
          <w:szCs w:val="24"/>
        </w:rPr>
        <w:t xml:space="preserve">he FASB </w:t>
      </w:r>
      <w:r>
        <w:rPr>
          <w:rFonts w:ascii="Verdana" w:hAnsi="Verdana"/>
          <w:szCs w:val="24"/>
        </w:rPr>
        <w:t>needs to ac</w:t>
      </w:r>
      <w:r w:rsidR="00924774">
        <w:rPr>
          <w:rFonts w:ascii="Verdana" w:hAnsi="Verdana"/>
          <w:szCs w:val="24"/>
        </w:rPr>
        <w:t>t, and it needs to act now.  And the</w:t>
      </w:r>
      <w:r>
        <w:rPr>
          <w:rFonts w:ascii="Verdana" w:hAnsi="Verdana"/>
          <w:szCs w:val="24"/>
        </w:rPr>
        <w:t xml:space="preserve"> IASB should do the same.</w:t>
      </w:r>
      <w:r w:rsidR="00924774">
        <w:rPr>
          <w:rFonts w:ascii="Verdana" w:hAnsi="Verdana"/>
          <w:szCs w:val="24"/>
        </w:rPr>
        <w:t xml:space="preserve">  Would this be reverse </w:t>
      </w:r>
      <w:proofErr w:type="spellStart"/>
      <w:r w:rsidR="00924774">
        <w:rPr>
          <w:rFonts w:ascii="Verdana" w:hAnsi="Verdana"/>
          <w:szCs w:val="24"/>
        </w:rPr>
        <w:t>condorsement</w:t>
      </w:r>
      <w:proofErr w:type="spellEnd"/>
      <w:r w:rsidR="00924774">
        <w:rPr>
          <w:rFonts w:ascii="Verdana" w:hAnsi="Verdana"/>
          <w:szCs w:val="24"/>
        </w:rPr>
        <w:t>?</w:t>
      </w:r>
    </w:p>
    <w:p w:rsidR="00A61C2C" w:rsidRPr="00656A82" w:rsidRDefault="00A61C2C" w:rsidP="00A61C2C">
      <w:pPr>
        <w:rPr>
          <w:rFonts w:ascii="Verdana" w:hAnsi="Verdana" w:cs="Arial"/>
          <w:sz w:val="24"/>
          <w:szCs w:val="24"/>
        </w:rPr>
      </w:pPr>
    </w:p>
    <w:p w:rsidR="00A61C2C" w:rsidRPr="00656A82" w:rsidRDefault="00A61C2C"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5850"/>
    <w:multiLevelType w:val="hybridMultilevel"/>
    <w:tmpl w:val="6D6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12"/>
  </w:num>
  <w:num w:numId="10">
    <w:abstractNumId w:val="1"/>
  </w:num>
  <w:num w:numId="11">
    <w:abstractNumId w:val="11"/>
  </w:num>
  <w:num w:numId="12">
    <w:abstractNumId w:val="13"/>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4F46"/>
    <w:rsid w:val="00032737"/>
    <w:rsid w:val="00032D82"/>
    <w:rsid w:val="000334D4"/>
    <w:rsid w:val="000374C2"/>
    <w:rsid w:val="00052C5C"/>
    <w:rsid w:val="00070A9F"/>
    <w:rsid w:val="00081916"/>
    <w:rsid w:val="0008518C"/>
    <w:rsid w:val="00093316"/>
    <w:rsid w:val="000954BE"/>
    <w:rsid w:val="000A3CC5"/>
    <w:rsid w:val="000A52AA"/>
    <w:rsid w:val="000A68B5"/>
    <w:rsid w:val="000B0974"/>
    <w:rsid w:val="000C06CB"/>
    <w:rsid w:val="000C0DAE"/>
    <w:rsid w:val="000C6302"/>
    <w:rsid w:val="000D246D"/>
    <w:rsid w:val="000E2E4F"/>
    <w:rsid w:val="000F42DF"/>
    <w:rsid w:val="00124D4C"/>
    <w:rsid w:val="00156B45"/>
    <w:rsid w:val="00157DE0"/>
    <w:rsid w:val="00162F11"/>
    <w:rsid w:val="00166500"/>
    <w:rsid w:val="0016737C"/>
    <w:rsid w:val="00174097"/>
    <w:rsid w:val="001823C4"/>
    <w:rsid w:val="001834C7"/>
    <w:rsid w:val="001978FB"/>
    <w:rsid w:val="001A35D6"/>
    <w:rsid w:val="001A4C91"/>
    <w:rsid w:val="001A523B"/>
    <w:rsid w:val="001A5685"/>
    <w:rsid w:val="001A63DD"/>
    <w:rsid w:val="001B2AE8"/>
    <w:rsid w:val="001B3448"/>
    <w:rsid w:val="001B54FF"/>
    <w:rsid w:val="001C3948"/>
    <w:rsid w:val="001C5C9F"/>
    <w:rsid w:val="001C7FFA"/>
    <w:rsid w:val="001D58BB"/>
    <w:rsid w:val="0020134E"/>
    <w:rsid w:val="0020293D"/>
    <w:rsid w:val="002134E1"/>
    <w:rsid w:val="00215FD8"/>
    <w:rsid w:val="002254DA"/>
    <w:rsid w:val="002348DA"/>
    <w:rsid w:val="0025414C"/>
    <w:rsid w:val="00254206"/>
    <w:rsid w:val="00264576"/>
    <w:rsid w:val="0028077B"/>
    <w:rsid w:val="00285D9E"/>
    <w:rsid w:val="002921E3"/>
    <w:rsid w:val="002954BA"/>
    <w:rsid w:val="00295EE1"/>
    <w:rsid w:val="002A35CE"/>
    <w:rsid w:val="002B0A9D"/>
    <w:rsid w:val="002B29A5"/>
    <w:rsid w:val="002C3E0F"/>
    <w:rsid w:val="002C4F22"/>
    <w:rsid w:val="002F116C"/>
    <w:rsid w:val="002F1C18"/>
    <w:rsid w:val="00304385"/>
    <w:rsid w:val="00307529"/>
    <w:rsid w:val="0031191B"/>
    <w:rsid w:val="00315910"/>
    <w:rsid w:val="00316C9F"/>
    <w:rsid w:val="003259CE"/>
    <w:rsid w:val="00327520"/>
    <w:rsid w:val="0032760C"/>
    <w:rsid w:val="00337E70"/>
    <w:rsid w:val="003614EA"/>
    <w:rsid w:val="00362844"/>
    <w:rsid w:val="00362D5A"/>
    <w:rsid w:val="00383ECD"/>
    <w:rsid w:val="00387AD3"/>
    <w:rsid w:val="00392381"/>
    <w:rsid w:val="0039366C"/>
    <w:rsid w:val="00394F33"/>
    <w:rsid w:val="003A627B"/>
    <w:rsid w:val="003B5481"/>
    <w:rsid w:val="003C2F39"/>
    <w:rsid w:val="003C370E"/>
    <w:rsid w:val="003D7633"/>
    <w:rsid w:val="003E2195"/>
    <w:rsid w:val="003E2AD6"/>
    <w:rsid w:val="003F2470"/>
    <w:rsid w:val="003F6FEC"/>
    <w:rsid w:val="00407FE7"/>
    <w:rsid w:val="00423830"/>
    <w:rsid w:val="00430CC2"/>
    <w:rsid w:val="00441449"/>
    <w:rsid w:val="00443813"/>
    <w:rsid w:val="00452131"/>
    <w:rsid w:val="004534FA"/>
    <w:rsid w:val="00460BD2"/>
    <w:rsid w:val="00465E6E"/>
    <w:rsid w:val="00471A13"/>
    <w:rsid w:val="004B03F1"/>
    <w:rsid w:val="004B57C9"/>
    <w:rsid w:val="004D0EFE"/>
    <w:rsid w:val="004D6BFC"/>
    <w:rsid w:val="004E7B9C"/>
    <w:rsid w:val="004F264C"/>
    <w:rsid w:val="004F5EB2"/>
    <w:rsid w:val="0050716A"/>
    <w:rsid w:val="005174B2"/>
    <w:rsid w:val="00520260"/>
    <w:rsid w:val="00520832"/>
    <w:rsid w:val="00534915"/>
    <w:rsid w:val="00547265"/>
    <w:rsid w:val="00566ACC"/>
    <w:rsid w:val="005679C2"/>
    <w:rsid w:val="00572989"/>
    <w:rsid w:val="0058071A"/>
    <w:rsid w:val="005877D3"/>
    <w:rsid w:val="00591E9C"/>
    <w:rsid w:val="005B3AFB"/>
    <w:rsid w:val="005B5C4B"/>
    <w:rsid w:val="005B6B3D"/>
    <w:rsid w:val="005B7BA1"/>
    <w:rsid w:val="005C5AA8"/>
    <w:rsid w:val="005C719F"/>
    <w:rsid w:val="005C7FC3"/>
    <w:rsid w:val="005D1AA8"/>
    <w:rsid w:val="005D3219"/>
    <w:rsid w:val="005D548A"/>
    <w:rsid w:val="005E40D4"/>
    <w:rsid w:val="005F2D0B"/>
    <w:rsid w:val="006062C5"/>
    <w:rsid w:val="00626CA8"/>
    <w:rsid w:val="00630BC8"/>
    <w:rsid w:val="00654AEE"/>
    <w:rsid w:val="00656A82"/>
    <w:rsid w:val="00671DE9"/>
    <w:rsid w:val="00680C26"/>
    <w:rsid w:val="00681673"/>
    <w:rsid w:val="006A2E31"/>
    <w:rsid w:val="006A7CF1"/>
    <w:rsid w:val="006B5167"/>
    <w:rsid w:val="006C0D38"/>
    <w:rsid w:val="006D40B4"/>
    <w:rsid w:val="006F298B"/>
    <w:rsid w:val="00701811"/>
    <w:rsid w:val="007069CC"/>
    <w:rsid w:val="00716893"/>
    <w:rsid w:val="0072083E"/>
    <w:rsid w:val="007240D6"/>
    <w:rsid w:val="007310E9"/>
    <w:rsid w:val="00733575"/>
    <w:rsid w:val="00741CC4"/>
    <w:rsid w:val="00753045"/>
    <w:rsid w:val="0075714F"/>
    <w:rsid w:val="00760D46"/>
    <w:rsid w:val="00762F72"/>
    <w:rsid w:val="007935E9"/>
    <w:rsid w:val="00795EDC"/>
    <w:rsid w:val="00797B40"/>
    <w:rsid w:val="007A54C7"/>
    <w:rsid w:val="007C2521"/>
    <w:rsid w:val="007C3769"/>
    <w:rsid w:val="007D30EB"/>
    <w:rsid w:val="007D7854"/>
    <w:rsid w:val="007E274D"/>
    <w:rsid w:val="007E4E7D"/>
    <w:rsid w:val="00823AFE"/>
    <w:rsid w:val="00825D4D"/>
    <w:rsid w:val="00826541"/>
    <w:rsid w:val="008265E1"/>
    <w:rsid w:val="00830A0B"/>
    <w:rsid w:val="00834103"/>
    <w:rsid w:val="00845099"/>
    <w:rsid w:val="00847F54"/>
    <w:rsid w:val="008522A3"/>
    <w:rsid w:val="00867351"/>
    <w:rsid w:val="00871AE5"/>
    <w:rsid w:val="00874083"/>
    <w:rsid w:val="0088295A"/>
    <w:rsid w:val="00885921"/>
    <w:rsid w:val="008B5E1A"/>
    <w:rsid w:val="008C691D"/>
    <w:rsid w:val="008D2071"/>
    <w:rsid w:val="008D5DE7"/>
    <w:rsid w:val="008E0442"/>
    <w:rsid w:val="008E6D9D"/>
    <w:rsid w:val="008F1A1F"/>
    <w:rsid w:val="009066DA"/>
    <w:rsid w:val="00907BCA"/>
    <w:rsid w:val="00924774"/>
    <w:rsid w:val="00930C78"/>
    <w:rsid w:val="0093354B"/>
    <w:rsid w:val="00952126"/>
    <w:rsid w:val="009552D6"/>
    <w:rsid w:val="00974768"/>
    <w:rsid w:val="00975403"/>
    <w:rsid w:val="009A0991"/>
    <w:rsid w:val="009A26FD"/>
    <w:rsid w:val="009A40B3"/>
    <w:rsid w:val="009A6D9B"/>
    <w:rsid w:val="009B1A90"/>
    <w:rsid w:val="009B5340"/>
    <w:rsid w:val="009D3CF4"/>
    <w:rsid w:val="009D772A"/>
    <w:rsid w:val="009E3E29"/>
    <w:rsid w:val="009E4B9A"/>
    <w:rsid w:val="009F0A97"/>
    <w:rsid w:val="00A01D1E"/>
    <w:rsid w:val="00A02E34"/>
    <w:rsid w:val="00A03ADF"/>
    <w:rsid w:val="00A06B5A"/>
    <w:rsid w:val="00A11437"/>
    <w:rsid w:val="00A14E6E"/>
    <w:rsid w:val="00A2604A"/>
    <w:rsid w:val="00A35333"/>
    <w:rsid w:val="00A501CA"/>
    <w:rsid w:val="00A56122"/>
    <w:rsid w:val="00A61C2C"/>
    <w:rsid w:val="00A623DC"/>
    <w:rsid w:val="00A65761"/>
    <w:rsid w:val="00A759EC"/>
    <w:rsid w:val="00A94ED1"/>
    <w:rsid w:val="00AB5DEF"/>
    <w:rsid w:val="00AC081E"/>
    <w:rsid w:val="00AC7090"/>
    <w:rsid w:val="00AD535F"/>
    <w:rsid w:val="00AD6616"/>
    <w:rsid w:val="00AD6A29"/>
    <w:rsid w:val="00AE44C0"/>
    <w:rsid w:val="00B07A78"/>
    <w:rsid w:val="00B11CE6"/>
    <w:rsid w:val="00B12949"/>
    <w:rsid w:val="00B20912"/>
    <w:rsid w:val="00B20A52"/>
    <w:rsid w:val="00B22B1B"/>
    <w:rsid w:val="00B5636F"/>
    <w:rsid w:val="00B7722F"/>
    <w:rsid w:val="00B77990"/>
    <w:rsid w:val="00B77E24"/>
    <w:rsid w:val="00B80F61"/>
    <w:rsid w:val="00B8681F"/>
    <w:rsid w:val="00B91B36"/>
    <w:rsid w:val="00B91C46"/>
    <w:rsid w:val="00B92AA2"/>
    <w:rsid w:val="00BB6235"/>
    <w:rsid w:val="00BB70EE"/>
    <w:rsid w:val="00BC1DB8"/>
    <w:rsid w:val="00BC33AB"/>
    <w:rsid w:val="00BD1C30"/>
    <w:rsid w:val="00BD4859"/>
    <w:rsid w:val="00BD5A48"/>
    <w:rsid w:val="00BD7B6B"/>
    <w:rsid w:val="00BE5852"/>
    <w:rsid w:val="00BE5F10"/>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73BEA"/>
    <w:rsid w:val="00C83508"/>
    <w:rsid w:val="00C84E3D"/>
    <w:rsid w:val="00C86325"/>
    <w:rsid w:val="00C90165"/>
    <w:rsid w:val="00CA4259"/>
    <w:rsid w:val="00CB2C19"/>
    <w:rsid w:val="00CB7FD0"/>
    <w:rsid w:val="00CC7B0A"/>
    <w:rsid w:val="00CD0E7F"/>
    <w:rsid w:val="00CD27FE"/>
    <w:rsid w:val="00CE1F6F"/>
    <w:rsid w:val="00CF567E"/>
    <w:rsid w:val="00CF5BF7"/>
    <w:rsid w:val="00D005BC"/>
    <w:rsid w:val="00D02240"/>
    <w:rsid w:val="00D04C30"/>
    <w:rsid w:val="00D10237"/>
    <w:rsid w:val="00D11F6F"/>
    <w:rsid w:val="00D15B07"/>
    <w:rsid w:val="00D42D55"/>
    <w:rsid w:val="00D43A63"/>
    <w:rsid w:val="00D526F1"/>
    <w:rsid w:val="00D546A3"/>
    <w:rsid w:val="00D54EF4"/>
    <w:rsid w:val="00D552C9"/>
    <w:rsid w:val="00D61215"/>
    <w:rsid w:val="00D66F58"/>
    <w:rsid w:val="00D72331"/>
    <w:rsid w:val="00D92C5E"/>
    <w:rsid w:val="00D94D28"/>
    <w:rsid w:val="00D96CB6"/>
    <w:rsid w:val="00DA29E6"/>
    <w:rsid w:val="00DB5864"/>
    <w:rsid w:val="00DB7039"/>
    <w:rsid w:val="00DC6A24"/>
    <w:rsid w:val="00DE470E"/>
    <w:rsid w:val="00DE58F7"/>
    <w:rsid w:val="00DF0BCE"/>
    <w:rsid w:val="00E0278C"/>
    <w:rsid w:val="00E0530E"/>
    <w:rsid w:val="00E10ACB"/>
    <w:rsid w:val="00E12A7D"/>
    <w:rsid w:val="00E13EA4"/>
    <w:rsid w:val="00E26ACF"/>
    <w:rsid w:val="00E318EE"/>
    <w:rsid w:val="00E43025"/>
    <w:rsid w:val="00E656F7"/>
    <w:rsid w:val="00E6651F"/>
    <w:rsid w:val="00E70E2E"/>
    <w:rsid w:val="00E76415"/>
    <w:rsid w:val="00E81155"/>
    <w:rsid w:val="00E85258"/>
    <w:rsid w:val="00EA73DD"/>
    <w:rsid w:val="00EB4D4A"/>
    <w:rsid w:val="00EB75E6"/>
    <w:rsid w:val="00ED3830"/>
    <w:rsid w:val="00ED708A"/>
    <w:rsid w:val="00EE3621"/>
    <w:rsid w:val="00EE62E4"/>
    <w:rsid w:val="00EE6A29"/>
    <w:rsid w:val="00EF3CB2"/>
    <w:rsid w:val="00F0140C"/>
    <w:rsid w:val="00F11B2D"/>
    <w:rsid w:val="00F13D4A"/>
    <w:rsid w:val="00F37BB7"/>
    <w:rsid w:val="00F454E5"/>
    <w:rsid w:val="00F540BD"/>
    <w:rsid w:val="00F61B68"/>
    <w:rsid w:val="00F66731"/>
    <w:rsid w:val="00F7237C"/>
    <w:rsid w:val="00F7596C"/>
    <w:rsid w:val="00F8568F"/>
    <w:rsid w:val="00F93625"/>
    <w:rsid w:val="00F94C21"/>
    <w:rsid w:val="00F95297"/>
    <w:rsid w:val="00FA305E"/>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5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meal.psu.edu/grumpyoldaccountants/archives/550" TargetMode="External"/><Relationship Id="rId12" Type="http://schemas.openxmlformats.org/officeDocument/2006/relationships/hyperlink" Target="http://blogs.smeal.psu.edu/grumpyoldaccountants/archives/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dsherman.house.gov/2012/05/congressman-sherman-and-congressman-campbell-lead-effort-to-stop-new-accounting-rules-for-leases.shtml" TargetMode="External"/><Relationship Id="rId11" Type="http://schemas.openxmlformats.org/officeDocument/2006/relationships/hyperlink" Target="http://blogs.smeal.psu.edu/grumpyoldaccountants/archives/491" TargetMode="External"/><Relationship Id="rId5" Type="http://schemas.openxmlformats.org/officeDocument/2006/relationships/hyperlink" Target="http://blogs.wsj.com/cfo/2012/05/24/lease-accounting-breakthrough-could-come-in-june/?mod=google_news_blog" TargetMode="External"/><Relationship Id="rId10" Type="http://schemas.openxmlformats.org/officeDocument/2006/relationships/hyperlink" Target="http://phx.corporate-ir.net/phoenix.zhtml?c=99533&amp;p=irol-seccat2012" TargetMode="External"/><Relationship Id="rId4" Type="http://schemas.openxmlformats.org/officeDocument/2006/relationships/webSettings" Target="webSettings.xml"/><Relationship Id="rId9" Type="http://schemas.openxmlformats.org/officeDocument/2006/relationships/hyperlink" Target="http://blogs.smeal.psu.edu/grumpyoldaccountants/archives/5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cp:revision>
  <cp:lastPrinted>2012-05-25T14:24:00Z</cp:lastPrinted>
  <dcterms:created xsi:type="dcterms:W3CDTF">2012-05-29T12:55:00Z</dcterms:created>
  <dcterms:modified xsi:type="dcterms:W3CDTF">2012-05-29T12:55:00Z</dcterms:modified>
</cp:coreProperties>
</file>