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13" w:rsidRDefault="00D379C2" w:rsidP="00DD2F1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GAAP</w:t>
      </w:r>
      <w:r w:rsidR="000911B9">
        <w:rPr>
          <w:rFonts w:ascii="Arial" w:hAnsi="Arial" w:cs="Arial"/>
          <w:b/>
          <w:sz w:val="28"/>
          <w:szCs w:val="28"/>
        </w:rPr>
        <w:t xml:space="preserve"> IS </w:t>
      </w:r>
      <w:r>
        <w:rPr>
          <w:rFonts w:ascii="Arial" w:hAnsi="Arial" w:cs="Arial"/>
          <w:b/>
          <w:sz w:val="28"/>
          <w:szCs w:val="28"/>
        </w:rPr>
        <w:t>CRAP</w:t>
      </w:r>
      <w:r w:rsidR="00AF22C7">
        <w:rPr>
          <w:rFonts w:ascii="Arial" w:hAnsi="Arial" w:cs="Arial"/>
          <w:b/>
          <w:sz w:val="28"/>
          <w:szCs w:val="28"/>
        </w:rPr>
        <w:t xml:space="preserve">: </w:t>
      </w:r>
      <w:r w:rsidR="00F21DAA">
        <w:rPr>
          <w:rFonts w:ascii="Arial" w:hAnsi="Arial" w:cs="Arial"/>
          <w:b/>
          <w:sz w:val="28"/>
          <w:szCs w:val="28"/>
        </w:rPr>
        <w:t xml:space="preserve">THE CASE OF </w:t>
      </w:r>
      <w:r>
        <w:rPr>
          <w:rFonts w:ascii="Arial" w:hAnsi="Arial" w:cs="Arial"/>
          <w:b/>
          <w:sz w:val="28"/>
          <w:szCs w:val="28"/>
        </w:rPr>
        <w:t>JP MORGAN</w:t>
      </w:r>
    </w:p>
    <w:p w:rsidR="006772D0" w:rsidRDefault="006772D0" w:rsidP="00DD2F13">
      <w:pPr>
        <w:rPr>
          <w:rFonts w:ascii="Arial" w:hAnsi="Arial" w:cs="Arial"/>
          <w:b/>
          <w:sz w:val="28"/>
          <w:szCs w:val="28"/>
        </w:rPr>
      </w:pP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 w:rsidRPr="0087771A">
        <w:rPr>
          <w:rFonts w:ascii="Arial" w:hAnsi="Arial" w:cs="Arial"/>
          <w:b/>
          <w:i/>
          <w:sz w:val="24"/>
          <w:szCs w:val="24"/>
        </w:rPr>
        <w:t>Anthony H. Catanach Jr. and J. Edward Ketz</w:t>
      </w:r>
    </w:p>
    <w:p w:rsidR="00E81155" w:rsidRDefault="00E81155" w:rsidP="00E81155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Grumpy Old Accountants, </w:t>
      </w:r>
      <w:r w:rsidR="00AF22C7">
        <w:rPr>
          <w:rFonts w:ascii="Arial" w:hAnsi="Arial" w:cs="Arial"/>
          <w:b/>
          <w:i/>
          <w:sz w:val="24"/>
          <w:szCs w:val="24"/>
        </w:rPr>
        <w:t>May</w:t>
      </w:r>
      <w:r w:rsidR="0030752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201</w:t>
      </w:r>
      <w:r w:rsidR="00307529">
        <w:rPr>
          <w:rFonts w:ascii="Arial" w:hAnsi="Arial" w:cs="Arial"/>
          <w:b/>
          <w:i/>
          <w:sz w:val="24"/>
          <w:szCs w:val="24"/>
        </w:rPr>
        <w:t>2</w:t>
      </w:r>
    </w:p>
    <w:p w:rsidR="00BF4CC9" w:rsidRDefault="00BF4CC9" w:rsidP="00DA29E6">
      <w:pPr>
        <w:rPr>
          <w:rFonts w:ascii="Verdana" w:hAnsi="Verdana" w:cs="Arial"/>
          <w:sz w:val="24"/>
          <w:szCs w:val="24"/>
        </w:rPr>
      </w:pPr>
    </w:p>
    <w:p w:rsidR="00D379C2" w:rsidRDefault="00D379C2" w:rsidP="00DA29E6">
      <w:pPr>
        <w:rPr>
          <w:rFonts w:ascii="Verdana" w:hAnsi="Verdana" w:cs="Arial"/>
          <w:sz w:val="24"/>
          <w:szCs w:val="24"/>
        </w:rPr>
      </w:pPr>
    </w:p>
    <w:p w:rsidR="00D379C2" w:rsidRDefault="00D379C2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Abraham Briloff complained that sometimes the accounting standard setters do a pathetic job by creating rules that enhance </w:t>
      </w:r>
      <w:r w:rsidR="003C6D35">
        <w:rPr>
          <w:rFonts w:ascii="Verdana" w:hAnsi="Verdana" w:cs="Arial"/>
          <w:sz w:val="24"/>
          <w:szCs w:val="24"/>
        </w:rPr>
        <w:t xml:space="preserve">the ability of </w:t>
      </w:r>
      <w:r>
        <w:rPr>
          <w:rFonts w:ascii="Verdana" w:hAnsi="Verdana" w:cs="Arial"/>
          <w:sz w:val="24"/>
          <w:szCs w:val="24"/>
        </w:rPr>
        <w:t xml:space="preserve">managers to manage earnings.  At those times, </w:t>
      </w:r>
      <w:r w:rsidR="005F1873">
        <w:rPr>
          <w:rFonts w:ascii="Verdana" w:hAnsi="Verdana" w:cs="Arial"/>
          <w:sz w:val="24"/>
          <w:szCs w:val="24"/>
        </w:rPr>
        <w:t xml:space="preserve">he indicated that </w:t>
      </w:r>
      <w:hyperlink r:id="rId6" w:history="1">
        <w:r w:rsidRPr="000911B9">
          <w:rPr>
            <w:rStyle w:val="Hyperlink"/>
            <w:rFonts w:ascii="Verdana" w:hAnsi="Verdana" w:cs="Arial"/>
            <w:sz w:val="24"/>
            <w:szCs w:val="24"/>
          </w:rPr>
          <w:t>GAAP becomes cleverly rigged accounting ploys</w:t>
        </w:r>
      </w:hyperlink>
      <w:r w:rsidR="00980127">
        <w:t>.</w:t>
      </w:r>
      <w:r>
        <w:rPr>
          <w:rFonts w:ascii="Verdana" w:hAnsi="Verdana" w:cs="Arial"/>
          <w:sz w:val="24"/>
          <w:szCs w:val="24"/>
        </w:rPr>
        <w:t xml:space="preserve"> </w:t>
      </w:r>
      <w:r w:rsidR="00980127">
        <w:rPr>
          <w:rFonts w:ascii="Verdana" w:hAnsi="Verdana" w:cs="Arial"/>
          <w:sz w:val="24"/>
          <w:szCs w:val="24"/>
        </w:rPr>
        <w:t xml:space="preserve"> The</w:t>
      </w:r>
      <w:r>
        <w:rPr>
          <w:rFonts w:ascii="Verdana" w:hAnsi="Verdana" w:cs="Arial"/>
          <w:sz w:val="24"/>
          <w:szCs w:val="24"/>
        </w:rPr>
        <w:t xml:space="preserve"> </w:t>
      </w:r>
      <w:r w:rsidR="005F1873">
        <w:rPr>
          <w:rFonts w:ascii="Verdana" w:hAnsi="Verdana" w:cs="Arial"/>
          <w:sz w:val="24"/>
          <w:szCs w:val="24"/>
        </w:rPr>
        <w:t xml:space="preserve">CRAP </w:t>
      </w:r>
      <w:r>
        <w:rPr>
          <w:rFonts w:ascii="Verdana" w:hAnsi="Verdana" w:cs="Arial"/>
          <w:sz w:val="24"/>
          <w:szCs w:val="24"/>
        </w:rPr>
        <w:t>acronym is tart</w:t>
      </w:r>
      <w:r w:rsidR="005F187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</w:t>
      </w:r>
      <w:r w:rsidR="00B7345B">
        <w:rPr>
          <w:rFonts w:ascii="Verdana" w:hAnsi="Verdana" w:cs="Arial"/>
          <w:sz w:val="24"/>
          <w:szCs w:val="24"/>
        </w:rPr>
        <w:t xml:space="preserve">but </w:t>
      </w:r>
      <w:r>
        <w:rPr>
          <w:rFonts w:ascii="Verdana" w:hAnsi="Verdana" w:cs="Arial"/>
          <w:sz w:val="24"/>
          <w:szCs w:val="24"/>
        </w:rPr>
        <w:t>precise.</w:t>
      </w:r>
    </w:p>
    <w:p w:rsidR="00D379C2" w:rsidRDefault="00D379C2" w:rsidP="00DA29E6">
      <w:pPr>
        <w:rPr>
          <w:rFonts w:ascii="Verdana" w:hAnsi="Verdana" w:cs="Arial"/>
          <w:sz w:val="24"/>
          <w:szCs w:val="24"/>
        </w:rPr>
      </w:pPr>
    </w:p>
    <w:p w:rsidR="003C6D35" w:rsidRDefault="003C6D35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David </w:t>
      </w:r>
      <w:r w:rsidR="004B169C">
        <w:rPr>
          <w:rFonts w:ascii="Verdana" w:hAnsi="Verdana" w:cs="Arial"/>
          <w:sz w:val="24"/>
          <w:szCs w:val="24"/>
        </w:rPr>
        <w:t>Reilly</w:t>
      </w:r>
      <w:r>
        <w:rPr>
          <w:rFonts w:ascii="Verdana" w:hAnsi="Verdana" w:cs="Arial"/>
          <w:sz w:val="24"/>
          <w:szCs w:val="24"/>
        </w:rPr>
        <w:t xml:space="preserve"> has written an excellent example of this proposition in his Wall Street Journal article, “</w:t>
      </w:r>
      <w:hyperlink r:id="rId7" w:history="1">
        <w:r w:rsidRPr="003C6D35">
          <w:rPr>
            <w:rStyle w:val="Hyperlink"/>
            <w:rFonts w:ascii="Verdana" w:hAnsi="Verdana" w:cs="Arial"/>
            <w:sz w:val="24"/>
            <w:szCs w:val="24"/>
          </w:rPr>
          <w:t>Heard on the Street: J.P. Morgan, Hedges and ‘Asymmetric Accounting</w:t>
        </w:r>
      </w:hyperlink>
      <w:r>
        <w:rPr>
          <w:rFonts w:ascii="Verdana" w:hAnsi="Verdana" w:cs="Arial"/>
          <w:sz w:val="24"/>
          <w:szCs w:val="24"/>
        </w:rPr>
        <w:t>.</w:t>
      </w:r>
      <w:r w:rsidR="001D1DD2">
        <w:rPr>
          <w:rFonts w:ascii="Verdana" w:hAnsi="Verdana" w:cs="Arial"/>
          <w:sz w:val="24"/>
          <w:szCs w:val="24"/>
        </w:rPr>
        <w:t>’</w:t>
      </w:r>
      <w:r>
        <w:rPr>
          <w:rFonts w:ascii="Verdana" w:hAnsi="Verdana" w:cs="Arial"/>
          <w:sz w:val="24"/>
          <w:szCs w:val="24"/>
        </w:rPr>
        <w:t>”</w:t>
      </w:r>
      <w:r w:rsidR="001D1DD2">
        <w:rPr>
          <w:rFonts w:ascii="Verdana" w:hAnsi="Verdana" w:cs="Arial"/>
          <w:sz w:val="24"/>
          <w:szCs w:val="24"/>
        </w:rPr>
        <w:t xml:space="preserve">  The issue pivots on the use of portfolio hedging and the “asymmetric accounting” that arises when the portfolio hedge is accounted for by mark-to-mark accounting</w:t>
      </w:r>
      <w:r w:rsidR="0014180E">
        <w:rPr>
          <w:rFonts w:ascii="Verdana" w:hAnsi="Verdana" w:cs="Arial"/>
          <w:sz w:val="24"/>
          <w:szCs w:val="24"/>
        </w:rPr>
        <w:t>,</w:t>
      </w:r>
      <w:r w:rsidR="001D1DD2">
        <w:rPr>
          <w:rFonts w:ascii="Verdana" w:hAnsi="Verdana" w:cs="Arial"/>
          <w:sz w:val="24"/>
          <w:szCs w:val="24"/>
        </w:rPr>
        <w:t xml:space="preserve"> and at least some of the hedged items are treated as available for </w:t>
      </w:r>
      <w:r w:rsidR="0014180E">
        <w:rPr>
          <w:rFonts w:ascii="Verdana" w:hAnsi="Verdana" w:cs="Arial"/>
          <w:sz w:val="24"/>
          <w:szCs w:val="24"/>
        </w:rPr>
        <w:t>sale securities.  This situation</w:t>
      </w:r>
      <w:r w:rsidR="001D1DD2">
        <w:rPr>
          <w:rFonts w:ascii="Verdana" w:hAnsi="Verdana" w:cs="Arial"/>
          <w:sz w:val="24"/>
          <w:szCs w:val="24"/>
        </w:rPr>
        <w:t xml:space="preserve"> creates a mismatch in the accounting for these items, thereby </w:t>
      </w:r>
      <w:r w:rsidR="000E03AD">
        <w:rPr>
          <w:rFonts w:ascii="Verdana" w:hAnsi="Verdana" w:cs="Arial"/>
          <w:sz w:val="24"/>
          <w:szCs w:val="24"/>
        </w:rPr>
        <w:t xml:space="preserve">potentially </w:t>
      </w:r>
      <w:r w:rsidR="0014180E">
        <w:rPr>
          <w:rFonts w:ascii="Verdana" w:hAnsi="Verdana" w:cs="Arial"/>
          <w:sz w:val="24"/>
          <w:szCs w:val="24"/>
        </w:rPr>
        <w:t>subjecting an</w:t>
      </w:r>
      <w:r w:rsidR="001D1DD2">
        <w:rPr>
          <w:rFonts w:ascii="Verdana" w:hAnsi="Verdana" w:cs="Arial"/>
          <w:sz w:val="24"/>
          <w:szCs w:val="24"/>
        </w:rPr>
        <w:t xml:space="preserve"> entity </w:t>
      </w:r>
      <w:r w:rsidR="000E03AD">
        <w:rPr>
          <w:rFonts w:ascii="Verdana" w:hAnsi="Verdana" w:cs="Arial"/>
          <w:sz w:val="24"/>
          <w:szCs w:val="24"/>
        </w:rPr>
        <w:t>to</w:t>
      </w:r>
      <w:r w:rsidR="001D1DD2">
        <w:rPr>
          <w:rFonts w:ascii="Verdana" w:hAnsi="Verdana" w:cs="Arial"/>
          <w:sz w:val="24"/>
          <w:szCs w:val="24"/>
        </w:rPr>
        <w:t xml:space="preserve"> large gains or losses in the derivative</w:t>
      </w:r>
      <w:r w:rsidR="0014180E">
        <w:rPr>
          <w:rFonts w:ascii="Verdana" w:hAnsi="Verdana" w:cs="Arial"/>
          <w:sz w:val="24"/>
          <w:szCs w:val="24"/>
        </w:rPr>
        <w:t>, while gains or losses of the hedged items bypass</w:t>
      </w:r>
      <w:r w:rsidR="001D1DD2">
        <w:rPr>
          <w:rFonts w:ascii="Verdana" w:hAnsi="Verdana" w:cs="Arial"/>
          <w:sz w:val="24"/>
          <w:szCs w:val="24"/>
        </w:rPr>
        <w:t xml:space="preserve"> the income </w:t>
      </w:r>
      <w:r w:rsidR="00CB35DD">
        <w:rPr>
          <w:rFonts w:ascii="Verdana" w:hAnsi="Verdana" w:cs="Arial"/>
          <w:sz w:val="24"/>
          <w:szCs w:val="24"/>
        </w:rPr>
        <w:t>statement</w:t>
      </w:r>
      <w:r w:rsidR="0014180E">
        <w:rPr>
          <w:rFonts w:ascii="Verdana" w:hAnsi="Verdana" w:cs="Arial"/>
          <w:sz w:val="24"/>
          <w:szCs w:val="24"/>
        </w:rPr>
        <w:t>,</w:t>
      </w:r>
      <w:r w:rsidR="00CB35DD">
        <w:rPr>
          <w:rFonts w:ascii="Verdana" w:hAnsi="Verdana" w:cs="Arial"/>
          <w:sz w:val="24"/>
          <w:szCs w:val="24"/>
        </w:rPr>
        <w:t xml:space="preserve"> </w:t>
      </w:r>
      <w:r w:rsidR="0014180E">
        <w:rPr>
          <w:rFonts w:ascii="Verdana" w:hAnsi="Verdana" w:cs="Arial"/>
          <w:sz w:val="24"/>
          <w:szCs w:val="24"/>
        </w:rPr>
        <w:t xml:space="preserve">and going directly </w:t>
      </w:r>
      <w:r w:rsidR="001D1DD2">
        <w:rPr>
          <w:rFonts w:ascii="Verdana" w:hAnsi="Verdana" w:cs="Arial"/>
          <w:sz w:val="24"/>
          <w:szCs w:val="24"/>
        </w:rPr>
        <w:t>into stockholders’ equity.</w:t>
      </w:r>
    </w:p>
    <w:p w:rsidR="004B169C" w:rsidRDefault="004B169C" w:rsidP="00DA29E6">
      <w:pPr>
        <w:rPr>
          <w:rFonts w:ascii="Verdana" w:hAnsi="Verdana" w:cs="Arial"/>
          <w:sz w:val="24"/>
          <w:szCs w:val="24"/>
        </w:rPr>
      </w:pPr>
    </w:p>
    <w:p w:rsidR="004B169C" w:rsidRDefault="004B169C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David Henry also has a nice essay about this chain of events, entitled “</w:t>
      </w:r>
      <w:hyperlink r:id="rId8" w:history="1">
        <w:r w:rsidRPr="004B169C">
          <w:rPr>
            <w:rStyle w:val="Hyperlink"/>
            <w:rFonts w:ascii="Verdana" w:hAnsi="Verdana" w:cs="Arial"/>
            <w:sz w:val="24"/>
            <w:szCs w:val="24"/>
          </w:rPr>
          <w:t>JPMorgan Chase Sells $25 Billion i</w:t>
        </w:r>
        <w:r w:rsidRPr="004B169C">
          <w:rPr>
            <w:rStyle w:val="Hyperlink"/>
            <w:rFonts w:ascii="Verdana" w:hAnsi="Verdana" w:cs="Arial"/>
            <w:sz w:val="24"/>
            <w:szCs w:val="24"/>
          </w:rPr>
          <w:t>n</w:t>
        </w:r>
        <w:r w:rsidRPr="004B169C">
          <w:rPr>
            <w:rStyle w:val="Hyperlink"/>
            <w:rFonts w:ascii="Verdana" w:hAnsi="Verdana" w:cs="Arial"/>
            <w:sz w:val="24"/>
            <w:szCs w:val="24"/>
          </w:rPr>
          <w:t xml:space="preserve"> Securities To Offset ‘London Whale</w:t>
        </w:r>
        <w:r w:rsidR="00D9573B">
          <w:rPr>
            <w:rStyle w:val="Hyperlink"/>
            <w:rFonts w:ascii="Verdana" w:hAnsi="Verdana" w:cs="Arial"/>
            <w:sz w:val="24"/>
            <w:szCs w:val="24"/>
          </w:rPr>
          <w:t>’</w:t>
        </w:r>
        <w:r w:rsidRPr="004B169C">
          <w:rPr>
            <w:rStyle w:val="Hyperlink"/>
            <w:rFonts w:ascii="Verdana" w:hAnsi="Verdana" w:cs="Arial"/>
            <w:sz w:val="24"/>
            <w:szCs w:val="24"/>
          </w:rPr>
          <w:t xml:space="preserve"> Losses</w:t>
        </w:r>
      </w:hyperlink>
      <w:r>
        <w:rPr>
          <w:rFonts w:ascii="Verdana" w:hAnsi="Verdana" w:cs="Arial"/>
          <w:sz w:val="24"/>
          <w:szCs w:val="24"/>
        </w:rPr>
        <w:t>.”  He quote</w:t>
      </w:r>
      <w:r w:rsidR="00D9573B">
        <w:rPr>
          <w:rFonts w:ascii="Verdana" w:hAnsi="Verdana" w:cs="Arial"/>
          <w:sz w:val="24"/>
          <w:szCs w:val="24"/>
        </w:rPr>
        <w:t>s former SEC Chief Accountant</w:t>
      </w:r>
      <w:r>
        <w:rPr>
          <w:rFonts w:ascii="Verdana" w:hAnsi="Verdana" w:cs="Arial"/>
          <w:sz w:val="24"/>
          <w:szCs w:val="24"/>
        </w:rPr>
        <w:t xml:space="preserve"> Lynn Turner who said JP Morgan made two stupid mistakes. They did not comprehend the risks they took with these complex derivatives and </w:t>
      </w:r>
      <w:r w:rsidR="00D9573B">
        <w:rPr>
          <w:rFonts w:ascii="Verdana" w:hAnsi="Verdana" w:cs="Arial"/>
          <w:sz w:val="24"/>
          <w:szCs w:val="24"/>
        </w:rPr>
        <w:t>they covered half the losses with gains from high income assets that they no longer enjoy.</w:t>
      </w:r>
    </w:p>
    <w:p w:rsidR="00DD2F13" w:rsidRDefault="00DD2F13" w:rsidP="00DA29E6">
      <w:pPr>
        <w:rPr>
          <w:rFonts w:ascii="Verdana" w:hAnsi="Verdana" w:cs="Arial"/>
          <w:sz w:val="24"/>
          <w:szCs w:val="24"/>
        </w:rPr>
      </w:pPr>
    </w:p>
    <w:p w:rsidR="001D1DD2" w:rsidRDefault="00CB1526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Jamie Dimon addressed these issues in a corporate conference call on May 10, 2012.  </w:t>
      </w:r>
      <w:r w:rsidR="009A6B1E">
        <w:rPr>
          <w:rFonts w:ascii="Verdana" w:hAnsi="Verdana" w:cs="Arial"/>
          <w:sz w:val="24"/>
          <w:szCs w:val="24"/>
        </w:rPr>
        <w:t xml:space="preserve">From an edited transcript of this conference call by Thomson Reuters StreetEvents, </w:t>
      </w:r>
      <w:r w:rsidR="000012FF">
        <w:rPr>
          <w:rFonts w:ascii="Verdana" w:hAnsi="Verdana" w:cs="Arial"/>
          <w:sz w:val="24"/>
          <w:szCs w:val="24"/>
        </w:rPr>
        <w:t xml:space="preserve">we read these comments by </w:t>
      </w:r>
      <w:r w:rsidR="009A6B1E">
        <w:rPr>
          <w:rFonts w:ascii="Verdana" w:hAnsi="Verdana" w:cs="Arial"/>
          <w:sz w:val="24"/>
          <w:szCs w:val="24"/>
        </w:rPr>
        <w:t>Mr. Dimon:</w:t>
      </w:r>
    </w:p>
    <w:p w:rsidR="00CB1526" w:rsidRDefault="00CB1526" w:rsidP="00DA29E6">
      <w:pPr>
        <w:rPr>
          <w:rFonts w:ascii="Verdana" w:hAnsi="Verdana" w:cs="Arial"/>
          <w:sz w:val="24"/>
          <w:szCs w:val="24"/>
        </w:rPr>
      </w:pPr>
    </w:p>
    <w:p w:rsidR="00CB1526" w:rsidRDefault="00CB1526" w:rsidP="00CB1526">
      <w:pPr>
        <w:autoSpaceDE w:val="0"/>
        <w:autoSpaceDN w:val="0"/>
        <w:adjustRightInd w:val="0"/>
        <w:ind w:left="720"/>
        <w:rPr>
          <w:rFonts w:ascii="Verdana" w:hAnsi="Verdana" w:cs="Myriad-Roman"/>
          <w:sz w:val="24"/>
          <w:szCs w:val="24"/>
        </w:rPr>
      </w:pPr>
      <w:r>
        <w:rPr>
          <w:rFonts w:ascii="Verdana" w:hAnsi="Verdana" w:cs="Myriad-Roman"/>
          <w:sz w:val="24"/>
          <w:szCs w:val="24"/>
        </w:rPr>
        <w:t>“</w:t>
      </w:r>
      <w:r w:rsidRPr="00CB1526">
        <w:rPr>
          <w:rFonts w:ascii="Verdana" w:hAnsi="Verdana" w:cs="Myriad-Roman"/>
          <w:sz w:val="24"/>
          <w:szCs w:val="24"/>
        </w:rPr>
        <w:t>I want to update you on a few items that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we have in our just filed 10-Q. Specifically, we've given prior guidance that Corporate -- that net income in the Corporate segment, remember it's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not the corporation, it's just one of the segments, excl.-Private Equity and litigation, would be approximately plus or minus $200 million. This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includes CIO's overall performance.</w:t>
      </w:r>
    </w:p>
    <w:p w:rsidR="00CB1526" w:rsidRPr="00CB1526" w:rsidRDefault="00CB1526" w:rsidP="00CB1526">
      <w:pPr>
        <w:autoSpaceDE w:val="0"/>
        <w:autoSpaceDN w:val="0"/>
        <w:adjustRightInd w:val="0"/>
        <w:ind w:left="720"/>
        <w:rPr>
          <w:rFonts w:ascii="Verdana" w:hAnsi="Verdana" w:cs="Myriad-Roman"/>
          <w:sz w:val="24"/>
          <w:szCs w:val="24"/>
        </w:rPr>
      </w:pPr>
    </w:p>
    <w:p w:rsidR="00CB1526" w:rsidRDefault="00CB1526" w:rsidP="00CB1526">
      <w:pPr>
        <w:autoSpaceDE w:val="0"/>
        <w:autoSpaceDN w:val="0"/>
        <w:adjustRightInd w:val="0"/>
        <w:ind w:left="720"/>
        <w:rPr>
          <w:rFonts w:ascii="Verdana" w:hAnsi="Verdana" w:cs="Myriad-Roman"/>
          <w:sz w:val="24"/>
          <w:szCs w:val="24"/>
        </w:rPr>
      </w:pPr>
      <w:r w:rsidRPr="00CB1526">
        <w:rPr>
          <w:rFonts w:ascii="Verdana" w:hAnsi="Verdana" w:cs="Myriad-Roman"/>
          <w:sz w:val="24"/>
          <w:szCs w:val="24"/>
        </w:rPr>
        <w:t>We would currently estimate this number to be minus $800 million after-tax. This change is due to two items, both in CIO this quarter. I'm about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 xml:space="preserve">to give you pretax numbers now. </w:t>
      </w:r>
      <w:r w:rsidRPr="00A74A74">
        <w:rPr>
          <w:rFonts w:ascii="Verdana" w:hAnsi="Verdana" w:cs="Myriad-Roman"/>
          <w:b/>
          <w:sz w:val="24"/>
          <w:szCs w:val="24"/>
        </w:rPr>
        <w:t xml:space="preserve">Slightly more than $2 billion trading loss under synthetic credit positions and $1 </w:t>
      </w:r>
      <w:r w:rsidRPr="00A74A74">
        <w:rPr>
          <w:rFonts w:ascii="Verdana" w:hAnsi="Verdana" w:cs="Myriad-Roman"/>
          <w:b/>
          <w:sz w:val="24"/>
          <w:szCs w:val="24"/>
        </w:rPr>
        <w:lastRenderedPageBreak/>
        <w:t>billion of securities gains, largely on the sale of credit exposures</w:t>
      </w:r>
      <w:r w:rsidR="00A74A74">
        <w:rPr>
          <w:rFonts w:ascii="Verdana" w:hAnsi="Verdana" w:cs="Myriad-Roman"/>
          <w:b/>
          <w:sz w:val="24"/>
          <w:szCs w:val="24"/>
        </w:rPr>
        <w:t xml:space="preserve"> (emphasis added)</w:t>
      </w:r>
      <w:r w:rsidRPr="00A74A74">
        <w:rPr>
          <w:rFonts w:ascii="Verdana" w:hAnsi="Verdana" w:cs="Myriad-Roman"/>
          <w:b/>
          <w:sz w:val="24"/>
          <w:szCs w:val="24"/>
        </w:rPr>
        <w:t>.</w:t>
      </w:r>
      <w:r w:rsidRPr="00CB1526">
        <w:rPr>
          <w:rFonts w:ascii="Verdana" w:hAnsi="Verdana" w:cs="Myriad-Roman"/>
          <w:sz w:val="24"/>
          <w:szCs w:val="24"/>
        </w:rPr>
        <w:t xml:space="preserve"> I want to remind you the CIO has over $300 billion in its investment portfolio and unrealized gains as of March 30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of $8 billion.</w:t>
      </w:r>
    </w:p>
    <w:p w:rsidR="00CB1526" w:rsidRPr="00CB1526" w:rsidRDefault="00CB1526" w:rsidP="00CB1526">
      <w:pPr>
        <w:autoSpaceDE w:val="0"/>
        <w:autoSpaceDN w:val="0"/>
        <w:adjustRightInd w:val="0"/>
        <w:ind w:left="720"/>
        <w:rPr>
          <w:rFonts w:ascii="Verdana" w:hAnsi="Verdana" w:cs="Myriad-Roman"/>
          <w:sz w:val="24"/>
          <w:szCs w:val="24"/>
        </w:rPr>
      </w:pPr>
    </w:p>
    <w:p w:rsidR="00CB1526" w:rsidRPr="00CB1526" w:rsidRDefault="00CB1526" w:rsidP="00CB1526">
      <w:pPr>
        <w:autoSpaceDE w:val="0"/>
        <w:autoSpaceDN w:val="0"/>
        <w:adjustRightInd w:val="0"/>
        <w:ind w:left="720"/>
        <w:rPr>
          <w:rFonts w:ascii="Verdana" w:hAnsi="Verdana" w:cs="Arial"/>
          <w:sz w:val="24"/>
          <w:szCs w:val="24"/>
        </w:rPr>
      </w:pPr>
      <w:r w:rsidRPr="00CB1526">
        <w:rPr>
          <w:rFonts w:ascii="Verdana" w:hAnsi="Verdana" w:cs="Myriad-Roman"/>
          <w:sz w:val="24"/>
          <w:szCs w:val="24"/>
        </w:rPr>
        <w:t>The CIO manages all the exposures in total as a whole and it does it in light of the firm's total requirements.</w:t>
      </w:r>
      <w:r>
        <w:rPr>
          <w:rFonts w:ascii="Verdana" w:hAnsi="Verdana" w:cs="Myriad-Roman"/>
          <w:sz w:val="24"/>
          <w:szCs w:val="24"/>
        </w:rPr>
        <w:t xml:space="preserve"> W</w:t>
      </w:r>
      <w:r w:rsidRPr="00CB1526">
        <w:rPr>
          <w:rFonts w:ascii="Verdana" w:hAnsi="Verdana" w:cs="Myriad-Roman"/>
          <w:sz w:val="24"/>
          <w:szCs w:val="24"/>
        </w:rPr>
        <w:t>e are also amending a disclosure in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the first quarter press release about CIO's VAR,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Value at Risk.</w:t>
      </w:r>
      <w:r w:rsidR="001471EC"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We had shown average VAR at 67. It will now be 129. In the first quarter, we implemented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a new VAR model, which we now deemed inadequate and we went back to the old one, which had been used for the prior several years, which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we deemed to be more adequate.</w:t>
      </w:r>
      <w:r>
        <w:rPr>
          <w:rFonts w:ascii="Verdana" w:hAnsi="Verdana" w:cs="Myriad-Roman"/>
          <w:sz w:val="24"/>
          <w:szCs w:val="24"/>
        </w:rPr>
        <w:t xml:space="preserve"> </w:t>
      </w:r>
      <w:r w:rsidRPr="00CB1526">
        <w:rPr>
          <w:rFonts w:ascii="Verdana" w:hAnsi="Verdana" w:cs="Myriad-Roman"/>
          <w:sz w:val="24"/>
          <w:szCs w:val="24"/>
        </w:rPr>
        <w:t>The numbers I just gave are effective March 30, the first quarter.</w:t>
      </w:r>
    </w:p>
    <w:p w:rsidR="00CB1526" w:rsidRDefault="00CB1526" w:rsidP="00DA29E6">
      <w:pPr>
        <w:rPr>
          <w:rFonts w:ascii="Verdana" w:hAnsi="Verdana" w:cs="Arial"/>
          <w:sz w:val="24"/>
          <w:szCs w:val="24"/>
        </w:rPr>
      </w:pPr>
    </w:p>
    <w:p w:rsidR="003C6D35" w:rsidRDefault="000012FF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We don’t care for this at all, even though JP </w:t>
      </w:r>
      <w:r w:rsidR="00A74A74">
        <w:rPr>
          <w:rFonts w:ascii="Verdana" w:hAnsi="Verdana" w:cs="Arial"/>
          <w:sz w:val="24"/>
          <w:szCs w:val="24"/>
        </w:rPr>
        <w:t xml:space="preserve">Morgan complied with GAAP.  Our </w:t>
      </w:r>
      <w:r>
        <w:rPr>
          <w:rFonts w:ascii="Verdana" w:hAnsi="Verdana" w:cs="Arial"/>
          <w:sz w:val="24"/>
          <w:szCs w:val="24"/>
        </w:rPr>
        <w:t>first problem is</w:t>
      </w:r>
      <w:r w:rsidR="000C0492">
        <w:rPr>
          <w:rFonts w:ascii="Verdana" w:hAnsi="Verdana" w:cs="Arial"/>
          <w:sz w:val="24"/>
          <w:szCs w:val="24"/>
        </w:rPr>
        <w:t xml:space="preserve"> with</w:t>
      </w:r>
      <w:r>
        <w:rPr>
          <w:rFonts w:ascii="Verdana" w:hAnsi="Verdana" w:cs="Arial"/>
          <w:sz w:val="24"/>
          <w:szCs w:val="24"/>
        </w:rPr>
        <w:t xml:space="preserve"> </w:t>
      </w:r>
      <w:r w:rsidR="00577863">
        <w:rPr>
          <w:rFonts w:ascii="Verdana" w:hAnsi="Verdana" w:cs="Arial"/>
          <w:sz w:val="24"/>
          <w:szCs w:val="24"/>
        </w:rPr>
        <w:t xml:space="preserve">the accounting </w:t>
      </w:r>
      <w:r w:rsidR="00A74A74">
        <w:rPr>
          <w:rFonts w:ascii="Verdana" w:hAnsi="Verdana" w:cs="Arial"/>
          <w:sz w:val="24"/>
          <w:szCs w:val="24"/>
        </w:rPr>
        <w:t xml:space="preserve">used </w:t>
      </w:r>
      <w:r w:rsidR="00577863">
        <w:rPr>
          <w:rFonts w:ascii="Verdana" w:hAnsi="Verdana" w:cs="Arial"/>
          <w:sz w:val="24"/>
          <w:szCs w:val="24"/>
        </w:rPr>
        <w:t xml:space="preserve">for </w:t>
      </w:r>
      <w:r>
        <w:rPr>
          <w:rFonts w:ascii="Verdana" w:hAnsi="Verdana" w:cs="Arial"/>
          <w:sz w:val="24"/>
          <w:szCs w:val="24"/>
        </w:rPr>
        <w:t xml:space="preserve">portfolio hedges.  </w:t>
      </w:r>
      <w:r w:rsidR="00577863">
        <w:rPr>
          <w:rFonts w:ascii="Verdana" w:hAnsi="Verdana" w:cs="Arial"/>
          <w:sz w:val="24"/>
          <w:szCs w:val="24"/>
        </w:rPr>
        <w:t xml:space="preserve">Specifically, </w:t>
      </w:r>
      <w:r w:rsidR="00A74A74">
        <w:rPr>
          <w:rFonts w:ascii="Verdana" w:hAnsi="Verdana" w:cs="Arial"/>
          <w:sz w:val="24"/>
          <w:szCs w:val="24"/>
        </w:rPr>
        <w:t xml:space="preserve">FASB No. 133 requires a company to record </w:t>
      </w:r>
      <w:r>
        <w:rPr>
          <w:rFonts w:ascii="Verdana" w:hAnsi="Verdana" w:cs="Arial"/>
          <w:sz w:val="24"/>
          <w:szCs w:val="24"/>
        </w:rPr>
        <w:t xml:space="preserve">both the derivative and the hedged item </w:t>
      </w:r>
      <w:r w:rsidR="00A74A74">
        <w:rPr>
          <w:rFonts w:ascii="Verdana" w:hAnsi="Verdana" w:cs="Arial"/>
          <w:sz w:val="24"/>
          <w:szCs w:val="24"/>
        </w:rPr>
        <w:t xml:space="preserve">at fair value. </w:t>
      </w:r>
      <w:r w:rsidR="00577863">
        <w:rPr>
          <w:rFonts w:ascii="Verdana" w:hAnsi="Verdana" w:cs="Arial"/>
          <w:sz w:val="24"/>
          <w:szCs w:val="24"/>
        </w:rPr>
        <w:t>However, f</w:t>
      </w:r>
      <w:r>
        <w:rPr>
          <w:rFonts w:ascii="Verdana" w:hAnsi="Verdana" w:cs="Arial"/>
          <w:sz w:val="24"/>
          <w:szCs w:val="24"/>
        </w:rPr>
        <w:t>or some reason</w:t>
      </w:r>
      <w:r w:rsidR="00577863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the FASB </w:t>
      </w:r>
      <w:r w:rsidR="00A74A74">
        <w:rPr>
          <w:rFonts w:ascii="Verdana" w:hAnsi="Verdana" w:cs="Arial"/>
          <w:sz w:val="24"/>
          <w:szCs w:val="24"/>
        </w:rPr>
        <w:t>does NOT</w:t>
      </w:r>
      <w:r>
        <w:rPr>
          <w:rFonts w:ascii="Verdana" w:hAnsi="Verdana" w:cs="Arial"/>
          <w:sz w:val="24"/>
          <w:szCs w:val="24"/>
        </w:rPr>
        <w:t xml:space="preserve"> require </w:t>
      </w:r>
      <w:r w:rsidR="00D02A1F">
        <w:rPr>
          <w:rFonts w:ascii="Verdana" w:hAnsi="Verdana" w:cs="Arial"/>
          <w:sz w:val="24"/>
          <w:szCs w:val="24"/>
        </w:rPr>
        <w:t xml:space="preserve">this </w:t>
      </w:r>
      <w:r w:rsidR="00577863">
        <w:rPr>
          <w:rFonts w:ascii="Verdana" w:hAnsi="Verdana" w:cs="Arial"/>
          <w:sz w:val="24"/>
          <w:szCs w:val="24"/>
        </w:rPr>
        <w:t>“</w:t>
      </w:r>
      <w:r>
        <w:rPr>
          <w:rFonts w:ascii="Verdana" w:hAnsi="Verdana" w:cs="Arial"/>
          <w:sz w:val="24"/>
          <w:szCs w:val="24"/>
        </w:rPr>
        <w:t>symmetric accounting</w:t>
      </w:r>
      <w:r w:rsidR="00577863">
        <w:rPr>
          <w:rFonts w:ascii="Verdana" w:hAnsi="Verdana" w:cs="Arial"/>
          <w:sz w:val="24"/>
          <w:szCs w:val="24"/>
        </w:rPr>
        <w:t>”</w:t>
      </w:r>
      <w:r>
        <w:rPr>
          <w:rFonts w:ascii="Verdana" w:hAnsi="Verdana" w:cs="Arial"/>
          <w:sz w:val="24"/>
          <w:szCs w:val="24"/>
        </w:rPr>
        <w:t xml:space="preserve"> </w:t>
      </w:r>
      <w:r w:rsidR="00A74A74">
        <w:rPr>
          <w:rFonts w:ascii="Verdana" w:hAnsi="Verdana" w:cs="Arial"/>
          <w:sz w:val="24"/>
          <w:szCs w:val="24"/>
        </w:rPr>
        <w:t xml:space="preserve">for </w:t>
      </w:r>
      <w:r>
        <w:rPr>
          <w:rFonts w:ascii="Verdana" w:hAnsi="Verdana" w:cs="Arial"/>
          <w:sz w:val="24"/>
          <w:szCs w:val="24"/>
        </w:rPr>
        <w:t>portfolio hedging</w:t>
      </w:r>
      <w:r w:rsidR="00A74A74">
        <w:rPr>
          <w:rFonts w:ascii="Verdana" w:hAnsi="Verdana" w:cs="Arial"/>
          <w:sz w:val="24"/>
          <w:szCs w:val="24"/>
        </w:rPr>
        <w:t xml:space="preserve">. The result?  Changes in the value of the derivative hedge are run through the income statement, while fair value changes associated with the hedged asset potentially </w:t>
      </w:r>
      <w:r w:rsidR="00D02A1F">
        <w:rPr>
          <w:rFonts w:ascii="Verdana" w:hAnsi="Verdana" w:cs="Arial"/>
          <w:sz w:val="24"/>
          <w:szCs w:val="24"/>
        </w:rPr>
        <w:t xml:space="preserve">can </w:t>
      </w:r>
      <w:r w:rsidR="00A74A74">
        <w:rPr>
          <w:rFonts w:ascii="Verdana" w:hAnsi="Verdana" w:cs="Arial"/>
          <w:sz w:val="24"/>
          <w:szCs w:val="24"/>
        </w:rPr>
        <w:t xml:space="preserve">bypass the income statement, going directly to balance sheet equity (i.e., </w:t>
      </w:r>
      <w:r w:rsidR="00D02A1F">
        <w:rPr>
          <w:rFonts w:ascii="Verdana" w:hAnsi="Verdana" w:cs="Arial"/>
          <w:sz w:val="24"/>
          <w:szCs w:val="24"/>
        </w:rPr>
        <w:t xml:space="preserve">via </w:t>
      </w:r>
      <w:r w:rsidR="00A74A74">
        <w:rPr>
          <w:rFonts w:ascii="Verdana" w:hAnsi="Verdana" w:cs="Arial"/>
          <w:sz w:val="24"/>
          <w:szCs w:val="24"/>
        </w:rPr>
        <w:t>accumulated other comprehensive income or loss)</w:t>
      </w:r>
      <w:r w:rsidR="00C42DDA">
        <w:rPr>
          <w:rFonts w:ascii="Verdana" w:hAnsi="Verdana" w:cs="Arial"/>
          <w:sz w:val="24"/>
          <w:szCs w:val="24"/>
        </w:rPr>
        <w:t xml:space="preserve">.  </w:t>
      </w:r>
      <w:r w:rsidR="00D02A1F">
        <w:rPr>
          <w:rFonts w:ascii="Verdana" w:hAnsi="Verdana" w:cs="Arial"/>
          <w:sz w:val="24"/>
          <w:szCs w:val="24"/>
        </w:rPr>
        <w:t>Why is this the case?</w:t>
      </w:r>
    </w:p>
    <w:p w:rsidR="003C6D35" w:rsidRDefault="003C6D35" w:rsidP="00DA29E6">
      <w:pPr>
        <w:rPr>
          <w:rFonts w:ascii="Verdana" w:hAnsi="Verdana" w:cs="Arial"/>
          <w:sz w:val="24"/>
          <w:szCs w:val="24"/>
        </w:rPr>
      </w:pPr>
    </w:p>
    <w:p w:rsidR="000012FF" w:rsidRDefault="00D02A1F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A related matter leads to o</w:t>
      </w:r>
      <w:r w:rsidR="00C42DDA">
        <w:rPr>
          <w:rFonts w:ascii="Verdana" w:hAnsi="Verdana" w:cs="Arial"/>
          <w:sz w:val="24"/>
          <w:szCs w:val="24"/>
        </w:rPr>
        <w:t xml:space="preserve">ur second concern: </w:t>
      </w:r>
      <w:r w:rsidR="004759FE">
        <w:rPr>
          <w:rFonts w:ascii="Verdana" w:hAnsi="Verdana" w:cs="Arial"/>
          <w:sz w:val="24"/>
          <w:szCs w:val="24"/>
        </w:rPr>
        <w:t xml:space="preserve">the </w:t>
      </w:r>
      <w:r w:rsidR="00A74A74">
        <w:rPr>
          <w:rFonts w:ascii="Verdana" w:hAnsi="Verdana" w:cs="Arial"/>
          <w:sz w:val="24"/>
          <w:szCs w:val="24"/>
        </w:rPr>
        <w:t xml:space="preserve">“special </w:t>
      </w:r>
      <w:r w:rsidR="004759FE">
        <w:rPr>
          <w:rFonts w:ascii="Verdana" w:hAnsi="Verdana" w:cs="Arial"/>
          <w:sz w:val="24"/>
          <w:szCs w:val="24"/>
        </w:rPr>
        <w:t>accounting</w:t>
      </w:r>
      <w:r w:rsidR="00A74A74">
        <w:rPr>
          <w:rFonts w:ascii="Verdana" w:hAnsi="Verdana" w:cs="Arial"/>
          <w:sz w:val="24"/>
          <w:szCs w:val="24"/>
        </w:rPr>
        <w:t>”</w:t>
      </w:r>
      <w:r w:rsidR="004759FE">
        <w:rPr>
          <w:rFonts w:ascii="Verdana" w:hAnsi="Verdana" w:cs="Arial"/>
          <w:sz w:val="24"/>
          <w:szCs w:val="24"/>
        </w:rPr>
        <w:t xml:space="preserve"> </w:t>
      </w:r>
      <w:r w:rsidR="00A74A74">
        <w:rPr>
          <w:rFonts w:ascii="Verdana" w:hAnsi="Verdana" w:cs="Arial"/>
          <w:sz w:val="24"/>
          <w:szCs w:val="24"/>
        </w:rPr>
        <w:t xml:space="preserve">permitted </w:t>
      </w:r>
      <w:r w:rsidR="004759FE">
        <w:rPr>
          <w:rFonts w:ascii="Verdana" w:hAnsi="Verdana" w:cs="Arial"/>
          <w:sz w:val="24"/>
          <w:szCs w:val="24"/>
        </w:rPr>
        <w:t xml:space="preserve">for available-for-sale </w:t>
      </w:r>
      <w:r w:rsidR="00B51B89">
        <w:rPr>
          <w:rFonts w:ascii="Verdana" w:hAnsi="Verdana" w:cs="Arial"/>
          <w:sz w:val="24"/>
          <w:szCs w:val="24"/>
        </w:rPr>
        <w:t xml:space="preserve">(AFS) </w:t>
      </w:r>
      <w:r w:rsidR="004759FE">
        <w:rPr>
          <w:rFonts w:ascii="Verdana" w:hAnsi="Verdana" w:cs="Arial"/>
          <w:sz w:val="24"/>
          <w:szCs w:val="24"/>
        </w:rPr>
        <w:t>securities</w:t>
      </w:r>
      <w:r w:rsidR="009739CB">
        <w:rPr>
          <w:rFonts w:ascii="Verdana" w:hAnsi="Verdana" w:cs="Arial"/>
          <w:sz w:val="24"/>
          <w:szCs w:val="24"/>
        </w:rPr>
        <w:t>, an accoun</w:t>
      </w:r>
      <w:r>
        <w:rPr>
          <w:rFonts w:ascii="Verdana" w:hAnsi="Verdana" w:cs="Arial"/>
          <w:sz w:val="24"/>
          <w:szCs w:val="24"/>
        </w:rPr>
        <w:t xml:space="preserve">ting rule which appears to </w:t>
      </w:r>
      <w:r w:rsidR="00B51B89">
        <w:rPr>
          <w:rFonts w:ascii="Verdana" w:hAnsi="Verdana" w:cs="Arial"/>
          <w:sz w:val="24"/>
          <w:szCs w:val="24"/>
        </w:rPr>
        <w:t xml:space="preserve">have </w:t>
      </w:r>
      <w:r w:rsidR="009739CB">
        <w:rPr>
          <w:rFonts w:ascii="Verdana" w:hAnsi="Verdana" w:cs="Arial"/>
          <w:sz w:val="24"/>
          <w:szCs w:val="24"/>
        </w:rPr>
        <w:t>played</w:t>
      </w:r>
      <w:r>
        <w:rPr>
          <w:rFonts w:ascii="Verdana" w:hAnsi="Verdana" w:cs="Arial"/>
          <w:sz w:val="24"/>
          <w:szCs w:val="24"/>
        </w:rPr>
        <w:t xml:space="preserve"> a role in the JP Morgan “loss” story</w:t>
      </w:r>
      <w:r w:rsidR="004759FE">
        <w:rPr>
          <w:rFonts w:ascii="Verdana" w:hAnsi="Verdana" w:cs="Arial"/>
          <w:sz w:val="24"/>
          <w:szCs w:val="24"/>
        </w:rPr>
        <w:t>.</w:t>
      </w:r>
      <w:r w:rsidR="00F64888">
        <w:rPr>
          <w:rFonts w:ascii="Verdana" w:hAnsi="Verdana" w:cs="Arial"/>
          <w:sz w:val="24"/>
          <w:szCs w:val="24"/>
        </w:rPr>
        <w:t xml:space="preserve">  </w:t>
      </w:r>
      <w:r w:rsidR="00A74A74">
        <w:rPr>
          <w:rFonts w:ascii="Verdana" w:hAnsi="Verdana" w:cs="Arial"/>
          <w:sz w:val="24"/>
          <w:szCs w:val="24"/>
        </w:rPr>
        <w:t xml:space="preserve">This </w:t>
      </w:r>
      <w:r w:rsidR="00C42DDA">
        <w:rPr>
          <w:rFonts w:ascii="Verdana" w:hAnsi="Verdana" w:cs="Arial"/>
          <w:sz w:val="24"/>
          <w:szCs w:val="24"/>
        </w:rPr>
        <w:t xml:space="preserve">accounting </w:t>
      </w:r>
      <w:r w:rsidR="00A74A74">
        <w:rPr>
          <w:rFonts w:ascii="Verdana" w:hAnsi="Verdana" w:cs="Arial"/>
          <w:sz w:val="24"/>
          <w:szCs w:val="24"/>
        </w:rPr>
        <w:t xml:space="preserve">option </w:t>
      </w:r>
      <w:r w:rsidR="008256EC">
        <w:rPr>
          <w:rFonts w:ascii="Verdana" w:hAnsi="Verdana" w:cs="Arial"/>
          <w:sz w:val="24"/>
          <w:szCs w:val="24"/>
        </w:rPr>
        <w:t xml:space="preserve">essentially </w:t>
      </w:r>
      <w:r w:rsidR="00A74A74">
        <w:rPr>
          <w:rFonts w:ascii="Verdana" w:hAnsi="Verdana" w:cs="Arial"/>
          <w:sz w:val="24"/>
          <w:szCs w:val="24"/>
        </w:rPr>
        <w:t xml:space="preserve">allows managers to </w:t>
      </w:r>
      <w:r w:rsidR="008256EC">
        <w:rPr>
          <w:rFonts w:ascii="Verdana" w:hAnsi="Verdana" w:cs="Arial"/>
          <w:sz w:val="24"/>
          <w:szCs w:val="24"/>
        </w:rPr>
        <w:t xml:space="preserve">decide when they want to record market value changes associated with marketable debt and equity securities.  </w:t>
      </w:r>
      <w:r>
        <w:rPr>
          <w:rFonts w:ascii="Verdana" w:hAnsi="Verdana" w:cs="Arial"/>
          <w:sz w:val="24"/>
          <w:szCs w:val="24"/>
        </w:rPr>
        <w:t xml:space="preserve">Essentially, </w:t>
      </w:r>
      <w:r w:rsidR="009739CB">
        <w:rPr>
          <w:rFonts w:ascii="Verdana" w:hAnsi="Verdana" w:cs="Arial"/>
          <w:sz w:val="24"/>
          <w:szCs w:val="24"/>
        </w:rPr>
        <w:t>m</w:t>
      </w:r>
      <w:r w:rsidR="00F64888">
        <w:rPr>
          <w:rFonts w:ascii="Verdana" w:hAnsi="Verdana" w:cs="Arial"/>
          <w:sz w:val="24"/>
          <w:szCs w:val="24"/>
        </w:rPr>
        <w:t>anager</w:t>
      </w:r>
      <w:r w:rsidR="009739CB">
        <w:rPr>
          <w:rFonts w:ascii="Verdana" w:hAnsi="Verdana" w:cs="Arial"/>
          <w:sz w:val="24"/>
          <w:szCs w:val="24"/>
        </w:rPr>
        <w:t xml:space="preserve">s can </w:t>
      </w:r>
      <w:r w:rsidR="00B51B89">
        <w:rPr>
          <w:rFonts w:ascii="Verdana" w:hAnsi="Verdana" w:cs="Arial"/>
          <w:sz w:val="24"/>
          <w:szCs w:val="24"/>
        </w:rPr>
        <w:t>“</w:t>
      </w:r>
      <w:r w:rsidR="009739CB">
        <w:rPr>
          <w:rFonts w:ascii="Verdana" w:hAnsi="Verdana" w:cs="Arial"/>
          <w:sz w:val="24"/>
          <w:szCs w:val="24"/>
        </w:rPr>
        <w:t>cherry pick</w:t>
      </w:r>
      <w:r w:rsidR="00B51B89">
        <w:rPr>
          <w:rFonts w:ascii="Verdana" w:hAnsi="Verdana" w:cs="Arial"/>
          <w:sz w:val="24"/>
          <w:szCs w:val="24"/>
        </w:rPr>
        <w:t>”</w:t>
      </w:r>
      <w:r w:rsidR="009739CB">
        <w:rPr>
          <w:rFonts w:ascii="Verdana" w:hAnsi="Verdana" w:cs="Arial"/>
          <w:sz w:val="24"/>
          <w:szCs w:val="24"/>
        </w:rPr>
        <w:t xml:space="preserve"> the timing of market value </w:t>
      </w:r>
      <w:r w:rsidR="00F64888">
        <w:rPr>
          <w:rFonts w:ascii="Verdana" w:hAnsi="Verdana" w:cs="Arial"/>
          <w:sz w:val="24"/>
          <w:szCs w:val="24"/>
        </w:rPr>
        <w:t>gains and losses</w:t>
      </w:r>
      <w:r w:rsidR="009739CB">
        <w:rPr>
          <w:rFonts w:ascii="Verdana" w:hAnsi="Verdana" w:cs="Arial"/>
          <w:sz w:val="24"/>
          <w:szCs w:val="24"/>
        </w:rPr>
        <w:t xml:space="preserve"> in their security portfolios</w:t>
      </w:r>
      <w:r w:rsidR="00F64888">
        <w:rPr>
          <w:rFonts w:ascii="Verdana" w:hAnsi="Verdana" w:cs="Arial"/>
          <w:sz w:val="24"/>
          <w:szCs w:val="24"/>
        </w:rPr>
        <w:t xml:space="preserve">.  </w:t>
      </w:r>
      <w:r>
        <w:rPr>
          <w:rFonts w:ascii="Verdana" w:hAnsi="Verdana" w:cs="Arial"/>
          <w:sz w:val="24"/>
          <w:szCs w:val="24"/>
        </w:rPr>
        <w:t xml:space="preserve">In JP Morgan’s case, the company had $8 billion of unrealized </w:t>
      </w:r>
      <w:r w:rsidR="00B51B89">
        <w:rPr>
          <w:rFonts w:ascii="Verdana" w:hAnsi="Verdana" w:cs="Arial"/>
          <w:sz w:val="24"/>
          <w:szCs w:val="24"/>
        </w:rPr>
        <w:t xml:space="preserve">AFS </w:t>
      </w:r>
      <w:r>
        <w:rPr>
          <w:rFonts w:ascii="Verdana" w:hAnsi="Verdana" w:cs="Arial"/>
          <w:sz w:val="24"/>
          <w:szCs w:val="24"/>
        </w:rPr>
        <w:t xml:space="preserve">gains </w:t>
      </w:r>
      <w:r w:rsidR="00B51B89">
        <w:rPr>
          <w:rFonts w:ascii="Verdana" w:hAnsi="Verdana" w:cs="Arial"/>
          <w:sz w:val="24"/>
          <w:szCs w:val="24"/>
        </w:rPr>
        <w:t>at March 30, 2012, $1 billion of which they subsequently decided to record from actual security sales to partially offset the negative effects of the $2 billion trading loss.  What is o</w:t>
      </w:r>
      <w:r w:rsidR="009739CB">
        <w:rPr>
          <w:rFonts w:ascii="Verdana" w:hAnsi="Verdana" w:cs="Arial"/>
          <w:sz w:val="24"/>
          <w:szCs w:val="24"/>
        </w:rPr>
        <w:t xml:space="preserve">ur objection?  </w:t>
      </w:r>
      <w:r w:rsidR="00F64888" w:rsidRPr="00B51B89">
        <w:rPr>
          <w:rFonts w:ascii="Verdana" w:hAnsi="Verdana" w:cs="Arial"/>
          <w:b/>
          <w:i/>
          <w:sz w:val="24"/>
          <w:szCs w:val="24"/>
        </w:rPr>
        <w:t xml:space="preserve">Such </w:t>
      </w:r>
      <w:r w:rsidR="00B51B89">
        <w:rPr>
          <w:rFonts w:ascii="Verdana" w:hAnsi="Verdana" w:cs="Arial"/>
          <w:b/>
          <w:i/>
          <w:sz w:val="24"/>
          <w:szCs w:val="24"/>
        </w:rPr>
        <w:t>“</w:t>
      </w:r>
      <w:r w:rsidR="00F64888" w:rsidRPr="00B51B89">
        <w:rPr>
          <w:rFonts w:ascii="Verdana" w:hAnsi="Verdana" w:cs="Arial"/>
          <w:b/>
          <w:i/>
          <w:sz w:val="24"/>
          <w:szCs w:val="24"/>
        </w:rPr>
        <w:t>cherry picking d</w:t>
      </w:r>
      <w:r w:rsidR="009739CB" w:rsidRPr="00B51B89">
        <w:rPr>
          <w:rFonts w:ascii="Verdana" w:hAnsi="Verdana" w:cs="Arial"/>
          <w:b/>
          <w:i/>
          <w:sz w:val="24"/>
          <w:szCs w:val="24"/>
        </w:rPr>
        <w:t>istorts the quality of earnings!</w:t>
      </w:r>
      <w:r w:rsidR="00F64888" w:rsidRPr="00B51B89">
        <w:rPr>
          <w:rFonts w:ascii="Verdana" w:hAnsi="Verdana" w:cs="Arial"/>
          <w:b/>
          <w:i/>
          <w:sz w:val="24"/>
          <w:szCs w:val="24"/>
        </w:rPr>
        <w:t xml:space="preserve"> </w:t>
      </w:r>
      <w:r w:rsidR="00F64888">
        <w:rPr>
          <w:rFonts w:ascii="Verdana" w:hAnsi="Verdana" w:cs="Arial"/>
          <w:sz w:val="24"/>
          <w:szCs w:val="24"/>
        </w:rPr>
        <w:t xml:space="preserve"> Investors and creditors would be </w:t>
      </w:r>
      <w:r w:rsidR="009739CB">
        <w:rPr>
          <w:rFonts w:ascii="Verdana" w:hAnsi="Verdana" w:cs="Arial"/>
          <w:sz w:val="24"/>
          <w:szCs w:val="24"/>
        </w:rPr>
        <w:t xml:space="preserve">much better </w:t>
      </w:r>
      <w:r w:rsidR="00F64888">
        <w:rPr>
          <w:rFonts w:ascii="Verdana" w:hAnsi="Verdana" w:cs="Arial"/>
          <w:sz w:val="24"/>
          <w:szCs w:val="24"/>
        </w:rPr>
        <w:t xml:space="preserve">served if </w:t>
      </w:r>
      <w:r w:rsidR="009739CB">
        <w:rPr>
          <w:rFonts w:ascii="Verdana" w:hAnsi="Verdana" w:cs="Arial"/>
          <w:sz w:val="24"/>
          <w:szCs w:val="24"/>
        </w:rPr>
        <w:t>accounting standard-setters</w:t>
      </w:r>
      <w:r w:rsidR="00F64888">
        <w:rPr>
          <w:rFonts w:ascii="Verdana" w:hAnsi="Verdana" w:cs="Arial"/>
          <w:sz w:val="24"/>
          <w:szCs w:val="24"/>
        </w:rPr>
        <w:t xml:space="preserve"> eliminated available-for-sale accounting</w:t>
      </w:r>
      <w:r w:rsidR="009739CB">
        <w:rPr>
          <w:rFonts w:ascii="Verdana" w:hAnsi="Verdana" w:cs="Arial"/>
          <w:sz w:val="24"/>
          <w:szCs w:val="24"/>
        </w:rPr>
        <w:t>,</w:t>
      </w:r>
      <w:r w:rsidR="00F64888">
        <w:rPr>
          <w:rFonts w:ascii="Verdana" w:hAnsi="Verdana" w:cs="Arial"/>
          <w:sz w:val="24"/>
          <w:szCs w:val="24"/>
        </w:rPr>
        <w:t xml:space="preserve"> and </w:t>
      </w:r>
      <w:r w:rsidR="009739CB">
        <w:rPr>
          <w:rFonts w:ascii="Verdana" w:hAnsi="Verdana" w:cs="Arial"/>
          <w:sz w:val="24"/>
          <w:szCs w:val="24"/>
        </w:rPr>
        <w:t xml:space="preserve">put an end to </w:t>
      </w:r>
      <w:r w:rsidR="00E5760D">
        <w:rPr>
          <w:rFonts w:ascii="Verdana" w:hAnsi="Verdana" w:cs="Arial"/>
          <w:sz w:val="24"/>
          <w:szCs w:val="24"/>
        </w:rPr>
        <w:t xml:space="preserve">at least one of </w:t>
      </w:r>
      <w:r w:rsidR="009739CB">
        <w:rPr>
          <w:rFonts w:ascii="Verdana" w:hAnsi="Verdana" w:cs="Arial"/>
          <w:sz w:val="24"/>
          <w:szCs w:val="24"/>
        </w:rPr>
        <w:t xml:space="preserve">the </w:t>
      </w:r>
      <w:r w:rsidR="00F64888">
        <w:rPr>
          <w:rFonts w:ascii="Verdana" w:hAnsi="Verdana" w:cs="Arial"/>
          <w:sz w:val="24"/>
          <w:szCs w:val="24"/>
        </w:rPr>
        <w:t>game</w:t>
      </w:r>
      <w:r w:rsidR="00E5760D">
        <w:rPr>
          <w:rFonts w:ascii="Verdana" w:hAnsi="Verdana" w:cs="Arial"/>
          <w:sz w:val="24"/>
          <w:szCs w:val="24"/>
        </w:rPr>
        <w:t>s managers play</w:t>
      </w:r>
      <w:r w:rsidR="00F64888">
        <w:rPr>
          <w:rFonts w:ascii="Verdana" w:hAnsi="Verdana" w:cs="Arial"/>
          <w:sz w:val="24"/>
          <w:szCs w:val="24"/>
        </w:rPr>
        <w:t>.</w:t>
      </w:r>
    </w:p>
    <w:p w:rsidR="003C6D35" w:rsidRDefault="003C6D35" w:rsidP="00DA29E6">
      <w:pPr>
        <w:rPr>
          <w:rFonts w:ascii="Verdana" w:hAnsi="Verdana" w:cs="Arial"/>
          <w:sz w:val="24"/>
          <w:szCs w:val="24"/>
        </w:rPr>
      </w:pPr>
    </w:p>
    <w:p w:rsidR="006846DB" w:rsidRDefault="006846DB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And as Jon Weil points out in </w:t>
      </w:r>
      <w:hyperlink r:id="rId9" w:history="1">
        <w:r w:rsidRPr="006846DB">
          <w:rPr>
            <w:rStyle w:val="Hyperlink"/>
            <w:rFonts w:ascii="Verdana" w:hAnsi="Verdana" w:cs="Arial"/>
            <w:sz w:val="24"/>
            <w:szCs w:val="24"/>
          </w:rPr>
          <w:t>JPMorgan Makes Groupon’s Disclosures Look Good</w:t>
        </w:r>
      </w:hyperlink>
      <w:r>
        <w:rPr>
          <w:rFonts w:ascii="Verdana" w:hAnsi="Verdana" w:cs="Arial"/>
          <w:sz w:val="24"/>
          <w:szCs w:val="24"/>
        </w:rPr>
        <w:t>, the story is not just about GAAP compliance.  It’s also about the transparency of all of the Company’s financial disclosures including those related to risk and controls.</w:t>
      </w:r>
    </w:p>
    <w:p w:rsidR="00B92361" w:rsidRDefault="00B92361" w:rsidP="00DA29E6">
      <w:pPr>
        <w:rPr>
          <w:rFonts w:ascii="Verdana" w:hAnsi="Verdana" w:cs="Arial"/>
          <w:sz w:val="24"/>
          <w:szCs w:val="24"/>
        </w:rPr>
      </w:pPr>
    </w:p>
    <w:p w:rsidR="003C6D35" w:rsidRDefault="00B51B89" w:rsidP="00DA29E6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Clearly, </w:t>
      </w:r>
      <w:r w:rsidR="008848B9">
        <w:rPr>
          <w:rFonts w:ascii="Verdana" w:hAnsi="Verdana" w:cs="Arial"/>
          <w:sz w:val="24"/>
          <w:szCs w:val="24"/>
        </w:rPr>
        <w:t xml:space="preserve">JP Morgan found a clever way to reduce </w:t>
      </w:r>
      <w:r w:rsidR="00CB35DD">
        <w:rPr>
          <w:rFonts w:ascii="Verdana" w:hAnsi="Verdana" w:cs="Arial"/>
          <w:sz w:val="24"/>
          <w:szCs w:val="24"/>
        </w:rPr>
        <w:t xml:space="preserve">the </w:t>
      </w:r>
      <w:r w:rsidR="00E5760D">
        <w:rPr>
          <w:rFonts w:ascii="Verdana" w:hAnsi="Verdana" w:cs="Arial"/>
          <w:sz w:val="24"/>
          <w:szCs w:val="24"/>
        </w:rPr>
        <w:t xml:space="preserve">overall </w:t>
      </w:r>
      <w:r w:rsidR="00CB35DD">
        <w:rPr>
          <w:rFonts w:ascii="Verdana" w:hAnsi="Verdana" w:cs="Arial"/>
          <w:sz w:val="24"/>
          <w:szCs w:val="24"/>
        </w:rPr>
        <w:t xml:space="preserve">impact of </w:t>
      </w:r>
      <w:r w:rsidR="008848B9">
        <w:rPr>
          <w:rFonts w:ascii="Verdana" w:hAnsi="Verdana" w:cs="Arial"/>
          <w:sz w:val="24"/>
          <w:szCs w:val="24"/>
        </w:rPr>
        <w:t>the $2 billion loss from synthetic credit positions</w:t>
      </w:r>
      <w:r w:rsidR="00CB35DD">
        <w:rPr>
          <w:rFonts w:ascii="Verdana" w:hAnsi="Verdana" w:cs="Arial"/>
          <w:sz w:val="24"/>
          <w:szCs w:val="24"/>
        </w:rPr>
        <w:t xml:space="preserve"> </w:t>
      </w:r>
      <w:r w:rsidR="00E5760D">
        <w:rPr>
          <w:rFonts w:ascii="Verdana" w:hAnsi="Verdana" w:cs="Arial"/>
          <w:sz w:val="24"/>
          <w:szCs w:val="24"/>
        </w:rPr>
        <w:t xml:space="preserve">on equity </w:t>
      </w:r>
      <w:r w:rsidR="00CB35DD">
        <w:rPr>
          <w:rFonts w:ascii="Verdana" w:hAnsi="Verdana" w:cs="Arial"/>
          <w:sz w:val="24"/>
          <w:szCs w:val="24"/>
        </w:rPr>
        <w:t>by generating $1 billion of re</w:t>
      </w:r>
      <w:r>
        <w:rPr>
          <w:rFonts w:ascii="Verdana" w:hAnsi="Verdana" w:cs="Arial"/>
          <w:sz w:val="24"/>
          <w:szCs w:val="24"/>
        </w:rPr>
        <w:t>alized gains from its AFS</w:t>
      </w:r>
      <w:r w:rsidR="00CB35DD">
        <w:rPr>
          <w:rFonts w:ascii="Verdana" w:hAnsi="Verdana" w:cs="Arial"/>
          <w:sz w:val="24"/>
          <w:szCs w:val="24"/>
        </w:rPr>
        <w:t xml:space="preserve"> securities.  JP Morgan</w:t>
      </w:r>
      <w:r w:rsidR="008848B9">
        <w:rPr>
          <w:rFonts w:ascii="Verdana" w:hAnsi="Verdana" w:cs="Arial"/>
          <w:sz w:val="24"/>
          <w:szCs w:val="24"/>
        </w:rPr>
        <w:t xml:space="preserve"> followed GAAP’s prescriptions throughout.  Unfortunately</w:t>
      </w:r>
      <w:r w:rsidR="00CB35DD">
        <w:rPr>
          <w:rFonts w:ascii="Verdana" w:hAnsi="Verdana" w:cs="Arial"/>
          <w:sz w:val="24"/>
          <w:szCs w:val="24"/>
        </w:rPr>
        <w:t xml:space="preserve"> for the investment community</w:t>
      </w:r>
      <w:r w:rsidR="008848B9">
        <w:rPr>
          <w:rFonts w:ascii="Verdana" w:hAnsi="Verdana" w:cs="Arial"/>
          <w:sz w:val="24"/>
          <w:szCs w:val="24"/>
        </w:rPr>
        <w:t>, in this case GAAP is CRAP.</w:t>
      </w:r>
    </w:p>
    <w:p w:rsidR="00545559" w:rsidRDefault="00545559" w:rsidP="00DA29E6">
      <w:pPr>
        <w:rPr>
          <w:rFonts w:ascii="Verdana" w:hAnsi="Verdana" w:cs="Arial"/>
          <w:sz w:val="24"/>
          <w:szCs w:val="24"/>
        </w:rPr>
      </w:pPr>
    </w:p>
    <w:p w:rsidR="00545559" w:rsidRDefault="00545559" w:rsidP="00DA29E6">
      <w:pPr>
        <w:rPr>
          <w:rFonts w:ascii="Verdana" w:hAnsi="Verdana" w:cs="Arial"/>
          <w:sz w:val="24"/>
          <w:szCs w:val="24"/>
        </w:rPr>
      </w:pPr>
    </w:p>
    <w:p w:rsidR="000F2DC8" w:rsidRDefault="000F2DC8" w:rsidP="00DA29E6">
      <w:pPr>
        <w:rPr>
          <w:rFonts w:ascii="Verdana" w:hAnsi="Verdana" w:cs="Arial"/>
          <w:sz w:val="24"/>
          <w:szCs w:val="24"/>
        </w:rPr>
      </w:pPr>
    </w:p>
    <w:p w:rsidR="0050716A" w:rsidRPr="00EE3621" w:rsidRDefault="0050716A" w:rsidP="005679C2">
      <w:pPr>
        <w:pBdr>
          <w:bottom w:val="thinThickThinMediumGap" w:sz="18" w:space="0" w:color="auto"/>
        </w:pBdr>
        <w:rPr>
          <w:rFonts w:ascii="Verdana" w:hAnsi="Verdana"/>
          <w:sz w:val="24"/>
          <w:szCs w:val="24"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</w:p>
    <w:p w:rsidR="005679C2" w:rsidRPr="00EE3621" w:rsidRDefault="005679C2" w:rsidP="005679C2">
      <w:pPr>
        <w:pStyle w:val="BodyText"/>
        <w:spacing w:line="240" w:lineRule="auto"/>
        <w:rPr>
          <w:rFonts w:ascii="Verdana" w:hAnsi="Verdana"/>
          <w:i/>
        </w:rPr>
      </w:pPr>
      <w:r w:rsidRPr="00EE3621">
        <w:rPr>
          <w:rFonts w:ascii="Verdana" w:hAnsi="Verdana"/>
          <w:i/>
        </w:rPr>
        <w:t xml:space="preserve">This essay reflects the opinion of the authors and not necessarily the opinions of The </w:t>
      </w:r>
      <w:smartTag w:uri="urn:schemas-microsoft-com:office:smarttags" w:element="PlaceName">
        <w:r w:rsidRPr="00EE3621">
          <w:rPr>
            <w:rFonts w:ascii="Verdana" w:hAnsi="Verdana"/>
            <w:i/>
          </w:rPr>
          <w:t>Pennsylvania</w:t>
        </w:r>
      </w:smartTag>
      <w:r w:rsidRPr="00EE3621">
        <w:rPr>
          <w:rFonts w:ascii="Verdana" w:hAnsi="Verdana"/>
          <w:i/>
        </w:rPr>
        <w:t xml:space="preserve"> </w:t>
      </w:r>
      <w:smartTag w:uri="urn:schemas-microsoft-com:office:smarttags" w:element="PlaceType">
        <w:r w:rsidRPr="00EE3621">
          <w:rPr>
            <w:rFonts w:ascii="Verdana" w:hAnsi="Verdana"/>
            <w:i/>
          </w:rPr>
          <w:t>State</w:t>
        </w:r>
      </w:smartTag>
      <w:r w:rsidRPr="00EE3621">
        <w:rPr>
          <w:rFonts w:ascii="Verdana" w:hAnsi="Verdana"/>
          <w:i/>
        </w:rPr>
        <w:t xml:space="preserve"> University, The American College, or Villanova University.</w:t>
      </w:r>
    </w:p>
    <w:p w:rsidR="005679C2" w:rsidRPr="00EE3621" w:rsidRDefault="005679C2" w:rsidP="005679C2">
      <w:pPr>
        <w:pBdr>
          <w:bottom w:val="thinThickThinMediumGap" w:sz="18" w:space="0" w:color="auto"/>
        </w:pBdr>
        <w:rPr>
          <w:rFonts w:ascii="Verdana" w:hAnsi="Verdana"/>
        </w:rPr>
      </w:pPr>
    </w:p>
    <w:p w:rsidR="005679C2" w:rsidRPr="00EE3621" w:rsidRDefault="005679C2" w:rsidP="005679C2">
      <w:pPr>
        <w:pStyle w:val="BodyTextIndent"/>
        <w:spacing w:after="0"/>
        <w:ind w:left="0"/>
        <w:rPr>
          <w:rFonts w:ascii="Verdana" w:hAnsi="Verdana"/>
          <w:sz w:val="24"/>
          <w:szCs w:val="24"/>
        </w:rPr>
      </w:pPr>
    </w:p>
    <w:sectPr w:rsidR="005679C2" w:rsidRPr="00EE3621" w:rsidSect="0062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yria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61D"/>
    <w:multiLevelType w:val="hybridMultilevel"/>
    <w:tmpl w:val="11A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D1521"/>
    <w:multiLevelType w:val="multilevel"/>
    <w:tmpl w:val="6C6A8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21E6"/>
    <w:multiLevelType w:val="hybridMultilevel"/>
    <w:tmpl w:val="4D52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C755B"/>
    <w:multiLevelType w:val="hybridMultilevel"/>
    <w:tmpl w:val="CE7AC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D0580"/>
    <w:multiLevelType w:val="hybridMultilevel"/>
    <w:tmpl w:val="618E18EE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8C38D9"/>
    <w:multiLevelType w:val="multilevel"/>
    <w:tmpl w:val="46B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7B352A"/>
    <w:multiLevelType w:val="hybridMultilevel"/>
    <w:tmpl w:val="9CEED64C"/>
    <w:lvl w:ilvl="0" w:tplc="CA1C2C96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171F92"/>
    <w:multiLevelType w:val="hybridMultilevel"/>
    <w:tmpl w:val="BEE61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405A1"/>
    <w:multiLevelType w:val="hybridMultilevel"/>
    <w:tmpl w:val="6118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50598"/>
    <w:multiLevelType w:val="hybridMultilevel"/>
    <w:tmpl w:val="AE1880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519574F0"/>
    <w:multiLevelType w:val="multilevel"/>
    <w:tmpl w:val="F5B2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FA481A"/>
    <w:multiLevelType w:val="hybridMultilevel"/>
    <w:tmpl w:val="A43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E35E2"/>
    <w:multiLevelType w:val="hybridMultilevel"/>
    <w:tmpl w:val="CAE691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CA792F"/>
    <w:multiLevelType w:val="multilevel"/>
    <w:tmpl w:val="BFE8AC2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4">
    <w:nsid w:val="721014CB"/>
    <w:multiLevelType w:val="hybridMultilevel"/>
    <w:tmpl w:val="AF32B6C4"/>
    <w:lvl w:ilvl="0" w:tplc="E2F8E3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20270B"/>
    <w:multiLevelType w:val="hybridMultilevel"/>
    <w:tmpl w:val="0A0E0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A12ACC"/>
    <w:multiLevelType w:val="hybridMultilevel"/>
    <w:tmpl w:val="4156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A54F63"/>
    <w:multiLevelType w:val="hybridMultilevel"/>
    <w:tmpl w:val="DBE69C70"/>
    <w:lvl w:ilvl="0" w:tplc="CA1C2C96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2"/>
  </w:num>
  <w:num w:numId="12">
    <w:abstractNumId w:val="15"/>
  </w:num>
  <w:num w:numId="13">
    <w:abstractNumId w:val="10"/>
  </w:num>
  <w:num w:numId="14">
    <w:abstractNumId w:val="14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A627B"/>
    <w:rsid w:val="000012FF"/>
    <w:rsid w:val="00002964"/>
    <w:rsid w:val="0000455B"/>
    <w:rsid w:val="0000785C"/>
    <w:rsid w:val="0001223C"/>
    <w:rsid w:val="00013A1E"/>
    <w:rsid w:val="00014F46"/>
    <w:rsid w:val="0002188E"/>
    <w:rsid w:val="00032D82"/>
    <w:rsid w:val="000334D4"/>
    <w:rsid w:val="000374C2"/>
    <w:rsid w:val="000437E8"/>
    <w:rsid w:val="00051DC2"/>
    <w:rsid w:val="00052C5C"/>
    <w:rsid w:val="00067E9B"/>
    <w:rsid w:val="00070A9F"/>
    <w:rsid w:val="00081916"/>
    <w:rsid w:val="0008518C"/>
    <w:rsid w:val="00086480"/>
    <w:rsid w:val="000911B9"/>
    <w:rsid w:val="00093316"/>
    <w:rsid w:val="000A3CC5"/>
    <w:rsid w:val="000A52AA"/>
    <w:rsid w:val="000A68B5"/>
    <w:rsid w:val="000B0974"/>
    <w:rsid w:val="000C0492"/>
    <w:rsid w:val="000C0DAE"/>
    <w:rsid w:val="000C55EE"/>
    <w:rsid w:val="000C6302"/>
    <w:rsid w:val="000D246D"/>
    <w:rsid w:val="000D6554"/>
    <w:rsid w:val="000E03AD"/>
    <w:rsid w:val="000E18E5"/>
    <w:rsid w:val="000E2E4F"/>
    <w:rsid w:val="000F2233"/>
    <w:rsid w:val="000F2DC8"/>
    <w:rsid w:val="000F42DF"/>
    <w:rsid w:val="00124D4C"/>
    <w:rsid w:val="0014180E"/>
    <w:rsid w:val="001471EC"/>
    <w:rsid w:val="00162F11"/>
    <w:rsid w:val="00165215"/>
    <w:rsid w:val="00166500"/>
    <w:rsid w:val="0016737C"/>
    <w:rsid w:val="001823C4"/>
    <w:rsid w:val="00183076"/>
    <w:rsid w:val="00190FBB"/>
    <w:rsid w:val="00196DE5"/>
    <w:rsid w:val="001978FB"/>
    <w:rsid w:val="001A1791"/>
    <w:rsid w:val="001A35D6"/>
    <w:rsid w:val="001A4C91"/>
    <w:rsid w:val="001A523B"/>
    <w:rsid w:val="001A5685"/>
    <w:rsid w:val="001A63DD"/>
    <w:rsid w:val="001B2AE8"/>
    <w:rsid w:val="001B3448"/>
    <w:rsid w:val="001B54FF"/>
    <w:rsid w:val="001C3948"/>
    <w:rsid w:val="001C497A"/>
    <w:rsid w:val="001C5C9F"/>
    <w:rsid w:val="001C7FFA"/>
    <w:rsid w:val="001D1DD2"/>
    <w:rsid w:val="001D2349"/>
    <w:rsid w:val="001D62A1"/>
    <w:rsid w:val="001D7AC4"/>
    <w:rsid w:val="001F1E90"/>
    <w:rsid w:val="0020134E"/>
    <w:rsid w:val="0020293D"/>
    <w:rsid w:val="00210C7A"/>
    <w:rsid w:val="002134E1"/>
    <w:rsid w:val="00215FD8"/>
    <w:rsid w:val="00217C3B"/>
    <w:rsid w:val="0022507E"/>
    <w:rsid w:val="002254DA"/>
    <w:rsid w:val="002348DA"/>
    <w:rsid w:val="00264576"/>
    <w:rsid w:val="00265925"/>
    <w:rsid w:val="00285D9E"/>
    <w:rsid w:val="002921E3"/>
    <w:rsid w:val="002954BA"/>
    <w:rsid w:val="00297DE7"/>
    <w:rsid w:val="002A35CE"/>
    <w:rsid w:val="002B0A9D"/>
    <w:rsid w:val="002B29A5"/>
    <w:rsid w:val="002C3CF3"/>
    <w:rsid w:val="002C3E0F"/>
    <w:rsid w:val="002C4F22"/>
    <w:rsid w:val="002D164E"/>
    <w:rsid w:val="002F1C18"/>
    <w:rsid w:val="002F262A"/>
    <w:rsid w:val="002F3E6F"/>
    <w:rsid w:val="003022BC"/>
    <w:rsid w:val="00304385"/>
    <w:rsid w:val="00307529"/>
    <w:rsid w:val="0031191B"/>
    <w:rsid w:val="00315910"/>
    <w:rsid w:val="00316C9F"/>
    <w:rsid w:val="003259CE"/>
    <w:rsid w:val="00327520"/>
    <w:rsid w:val="0032760C"/>
    <w:rsid w:val="00354144"/>
    <w:rsid w:val="0036142D"/>
    <w:rsid w:val="003614EA"/>
    <w:rsid w:val="003617B7"/>
    <w:rsid w:val="00361AB2"/>
    <w:rsid w:val="00362844"/>
    <w:rsid w:val="00362D5A"/>
    <w:rsid w:val="00383ECD"/>
    <w:rsid w:val="00387AD3"/>
    <w:rsid w:val="0039366C"/>
    <w:rsid w:val="00394F33"/>
    <w:rsid w:val="003A627B"/>
    <w:rsid w:val="003B5481"/>
    <w:rsid w:val="003C2F39"/>
    <w:rsid w:val="003C370E"/>
    <w:rsid w:val="003C6D35"/>
    <w:rsid w:val="003D4590"/>
    <w:rsid w:val="003D7633"/>
    <w:rsid w:val="003E2195"/>
    <w:rsid w:val="003F2470"/>
    <w:rsid w:val="003F2F38"/>
    <w:rsid w:val="003F6FEC"/>
    <w:rsid w:val="00404567"/>
    <w:rsid w:val="00407FE7"/>
    <w:rsid w:val="00423830"/>
    <w:rsid w:val="004238E6"/>
    <w:rsid w:val="00430CC2"/>
    <w:rsid w:val="00434BB2"/>
    <w:rsid w:val="0043625F"/>
    <w:rsid w:val="00441449"/>
    <w:rsid w:val="00443813"/>
    <w:rsid w:val="00452131"/>
    <w:rsid w:val="004534FA"/>
    <w:rsid w:val="00455A99"/>
    <w:rsid w:val="004562E4"/>
    <w:rsid w:val="00460BD2"/>
    <w:rsid w:val="00465E6E"/>
    <w:rsid w:val="00466069"/>
    <w:rsid w:val="00471A13"/>
    <w:rsid w:val="004759FE"/>
    <w:rsid w:val="00490DAC"/>
    <w:rsid w:val="00491723"/>
    <w:rsid w:val="00495332"/>
    <w:rsid w:val="004A745F"/>
    <w:rsid w:val="004B03F1"/>
    <w:rsid w:val="004B169C"/>
    <w:rsid w:val="004B57C9"/>
    <w:rsid w:val="004B6B8E"/>
    <w:rsid w:val="004C2459"/>
    <w:rsid w:val="004D04CE"/>
    <w:rsid w:val="004D3E1B"/>
    <w:rsid w:val="004D42A8"/>
    <w:rsid w:val="004D6BFC"/>
    <w:rsid w:val="004E7B9C"/>
    <w:rsid w:val="004F1C35"/>
    <w:rsid w:val="004F264C"/>
    <w:rsid w:val="004F5EB2"/>
    <w:rsid w:val="00500864"/>
    <w:rsid w:val="005021AE"/>
    <w:rsid w:val="005057B7"/>
    <w:rsid w:val="0050716A"/>
    <w:rsid w:val="005174B2"/>
    <w:rsid w:val="00520260"/>
    <w:rsid w:val="00520832"/>
    <w:rsid w:val="00533664"/>
    <w:rsid w:val="00534915"/>
    <w:rsid w:val="005373CC"/>
    <w:rsid w:val="005427BB"/>
    <w:rsid w:val="00545559"/>
    <w:rsid w:val="00546C8A"/>
    <w:rsid w:val="00547265"/>
    <w:rsid w:val="00566ACC"/>
    <w:rsid w:val="005679C2"/>
    <w:rsid w:val="00572989"/>
    <w:rsid w:val="0057420F"/>
    <w:rsid w:val="00577863"/>
    <w:rsid w:val="0058071A"/>
    <w:rsid w:val="00586FFE"/>
    <w:rsid w:val="005877D3"/>
    <w:rsid w:val="00591E9C"/>
    <w:rsid w:val="005B3AFB"/>
    <w:rsid w:val="005B6B3D"/>
    <w:rsid w:val="005B7BA1"/>
    <w:rsid w:val="005C5AA8"/>
    <w:rsid w:val="005C719F"/>
    <w:rsid w:val="005C7FC3"/>
    <w:rsid w:val="005D3219"/>
    <w:rsid w:val="005D548A"/>
    <w:rsid w:val="005E40D4"/>
    <w:rsid w:val="005F1873"/>
    <w:rsid w:val="005F2D0B"/>
    <w:rsid w:val="005F5040"/>
    <w:rsid w:val="006012E0"/>
    <w:rsid w:val="006062C5"/>
    <w:rsid w:val="0061533A"/>
    <w:rsid w:val="006255D9"/>
    <w:rsid w:val="00626CA8"/>
    <w:rsid w:val="00630849"/>
    <w:rsid w:val="00630BC8"/>
    <w:rsid w:val="00633A33"/>
    <w:rsid w:val="00636320"/>
    <w:rsid w:val="006369C4"/>
    <w:rsid w:val="00643303"/>
    <w:rsid w:val="0064394F"/>
    <w:rsid w:val="006442AE"/>
    <w:rsid w:val="006443D4"/>
    <w:rsid w:val="006461D5"/>
    <w:rsid w:val="00654AEE"/>
    <w:rsid w:val="00656161"/>
    <w:rsid w:val="00667F72"/>
    <w:rsid w:val="00671DE9"/>
    <w:rsid w:val="006772D0"/>
    <w:rsid w:val="00680C26"/>
    <w:rsid w:val="00681673"/>
    <w:rsid w:val="006846DB"/>
    <w:rsid w:val="00695771"/>
    <w:rsid w:val="00697578"/>
    <w:rsid w:val="006A29A3"/>
    <w:rsid w:val="006A2E31"/>
    <w:rsid w:val="006A7CF1"/>
    <w:rsid w:val="006B5167"/>
    <w:rsid w:val="006B7A87"/>
    <w:rsid w:val="006D40B4"/>
    <w:rsid w:val="006F298B"/>
    <w:rsid w:val="00701811"/>
    <w:rsid w:val="007069CC"/>
    <w:rsid w:val="00711DFC"/>
    <w:rsid w:val="00716893"/>
    <w:rsid w:val="0072083E"/>
    <w:rsid w:val="00721ED9"/>
    <w:rsid w:val="007240D6"/>
    <w:rsid w:val="007310E9"/>
    <w:rsid w:val="00732233"/>
    <w:rsid w:val="00741CC4"/>
    <w:rsid w:val="00753045"/>
    <w:rsid w:val="0075714F"/>
    <w:rsid w:val="00762F72"/>
    <w:rsid w:val="007635B3"/>
    <w:rsid w:val="00763D47"/>
    <w:rsid w:val="007836DF"/>
    <w:rsid w:val="007935E9"/>
    <w:rsid w:val="00795EDC"/>
    <w:rsid w:val="007A54C7"/>
    <w:rsid w:val="007A74AF"/>
    <w:rsid w:val="007B510D"/>
    <w:rsid w:val="007C2521"/>
    <w:rsid w:val="007D30EB"/>
    <w:rsid w:val="007D7854"/>
    <w:rsid w:val="007E274D"/>
    <w:rsid w:val="007E34E6"/>
    <w:rsid w:val="007E4E7D"/>
    <w:rsid w:val="007E7891"/>
    <w:rsid w:val="007F736D"/>
    <w:rsid w:val="0082077B"/>
    <w:rsid w:val="00823AFE"/>
    <w:rsid w:val="008256EC"/>
    <w:rsid w:val="00825D4D"/>
    <w:rsid w:val="00826541"/>
    <w:rsid w:val="008265E1"/>
    <w:rsid w:val="00830910"/>
    <w:rsid w:val="00830A0B"/>
    <w:rsid w:val="00834103"/>
    <w:rsid w:val="008363B9"/>
    <w:rsid w:val="00847F54"/>
    <w:rsid w:val="00861134"/>
    <w:rsid w:val="00864332"/>
    <w:rsid w:val="00872289"/>
    <w:rsid w:val="00874083"/>
    <w:rsid w:val="008757FF"/>
    <w:rsid w:val="00876D08"/>
    <w:rsid w:val="00876D95"/>
    <w:rsid w:val="0088295A"/>
    <w:rsid w:val="008848B9"/>
    <w:rsid w:val="00885921"/>
    <w:rsid w:val="00890771"/>
    <w:rsid w:val="0089187B"/>
    <w:rsid w:val="00894C28"/>
    <w:rsid w:val="008A2560"/>
    <w:rsid w:val="008B5E1A"/>
    <w:rsid w:val="008C256F"/>
    <w:rsid w:val="008C691D"/>
    <w:rsid w:val="008D2071"/>
    <w:rsid w:val="008D5DE7"/>
    <w:rsid w:val="008D7723"/>
    <w:rsid w:val="008E0442"/>
    <w:rsid w:val="008E480B"/>
    <w:rsid w:val="008E6D9D"/>
    <w:rsid w:val="008F04C5"/>
    <w:rsid w:val="00907BCA"/>
    <w:rsid w:val="00914576"/>
    <w:rsid w:val="00927AEB"/>
    <w:rsid w:val="00930C78"/>
    <w:rsid w:val="00944985"/>
    <w:rsid w:val="00952126"/>
    <w:rsid w:val="00952D24"/>
    <w:rsid w:val="009552D6"/>
    <w:rsid w:val="009739CB"/>
    <w:rsid w:val="00974768"/>
    <w:rsid w:val="00975403"/>
    <w:rsid w:val="00980127"/>
    <w:rsid w:val="009A0991"/>
    <w:rsid w:val="009A0F6E"/>
    <w:rsid w:val="009A26FD"/>
    <w:rsid w:val="009A2816"/>
    <w:rsid w:val="009A40B3"/>
    <w:rsid w:val="009A6B1E"/>
    <w:rsid w:val="009A6D9B"/>
    <w:rsid w:val="009A708E"/>
    <w:rsid w:val="009B1A90"/>
    <w:rsid w:val="009C0B50"/>
    <w:rsid w:val="009D3CF4"/>
    <w:rsid w:val="009D772A"/>
    <w:rsid w:val="009E3B72"/>
    <w:rsid w:val="009F0A97"/>
    <w:rsid w:val="00A02E34"/>
    <w:rsid w:val="00A03ADF"/>
    <w:rsid w:val="00A06B5A"/>
    <w:rsid w:val="00A11437"/>
    <w:rsid w:val="00A1143D"/>
    <w:rsid w:val="00A14E6E"/>
    <w:rsid w:val="00A20F6C"/>
    <w:rsid w:val="00A2604A"/>
    <w:rsid w:val="00A3462B"/>
    <w:rsid w:val="00A35333"/>
    <w:rsid w:val="00A43460"/>
    <w:rsid w:val="00A44661"/>
    <w:rsid w:val="00A501CA"/>
    <w:rsid w:val="00A52657"/>
    <w:rsid w:val="00A56122"/>
    <w:rsid w:val="00A623DC"/>
    <w:rsid w:val="00A64206"/>
    <w:rsid w:val="00A74A74"/>
    <w:rsid w:val="00A759EC"/>
    <w:rsid w:val="00A94ED1"/>
    <w:rsid w:val="00AA78B1"/>
    <w:rsid w:val="00AB5DEF"/>
    <w:rsid w:val="00AC0275"/>
    <w:rsid w:val="00AC081E"/>
    <w:rsid w:val="00AC5F06"/>
    <w:rsid w:val="00AC7090"/>
    <w:rsid w:val="00AD6616"/>
    <w:rsid w:val="00AE3622"/>
    <w:rsid w:val="00AE44C0"/>
    <w:rsid w:val="00AF22C7"/>
    <w:rsid w:val="00B00CDE"/>
    <w:rsid w:val="00B1128F"/>
    <w:rsid w:val="00B11CE6"/>
    <w:rsid w:val="00B12949"/>
    <w:rsid w:val="00B150F4"/>
    <w:rsid w:val="00B20912"/>
    <w:rsid w:val="00B20A52"/>
    <w:rsid w:val="00B22B1B"/>
    <w:rsid w:val="00B22DA1"/>
    <w:rsid w:val="00B4156F"/>
    <w:rsid w:val="00B51B89"/>
    <w:rsid w:val="00B5636F"/>
    <w:rsid w:val="00B67C86"/>
    <w:rsid w:val="00B7345B"/>
    <w:rsid w:val="00B7664B"/>
    <w:rsid w:val="00B7722F"/>
    <w:rsid w:val="00B77990"/>
    <w:rsid w:val="00B77E24"/>
    <w:rsid w:val="00B80F61"/>
    <w:rsid w:val="00B8681F"/>
    <w:rsid w:val="00B91B36"/>
    <w:rsid w:val="00B91C46"/>
    <w:rsid w:val="00B92361"/>
    <w:rsid w:val="00B92AA2"/>
    <w:rsid w:val="00B9339C"/>
    <w:rsid w:val="00BA23CF"/>
    <w:rsid w:val="00BA7DA2"/>
    <w:rsid w:val="00BB2082"/>
    <w:rsid w:val="00BB6235"/>
    <w:rsid w:val="00BC1DB8"/>
    <w:rsid w:val="00BC33AB"/>
    <w:rsid w:val="00BD1C30"/>
    <w:rsid w:val="00BD4859"/>
    <w:rsid w:val="00BD5A48"/>
    <w:rsid w:val="00BE5852"/>
    <w:rsid w:val="00BF321C"/>
    <w:rsid w:val="00BF4BFB"/>
    <w:rsid w:val="00BF4CC9"/>
    <w:rsid w:val="00BF663F"/>
    <w:rsid w:val="00C02A18"/>
    <w:rsid w:val="00C0326A"/>
    <w:rsid w:val="00C04A39"/>
    <w:rsid w:val="00C06BB5"/>
    <w:rsid w:val="00C06C9A"/>
    <w:rsid w:val="00C1019A"/>
    <w:rsid w:val="00C12F75"/>
    <w:rsid w:val="00C14B68"/>
    <w:rsid w:val="00C17B64"/>
    <w:rsid w:val="00C25606"/>
    <w:rsid w:val="00C265D4"/>
    <w:rsid w:val="00C40DDB"/>
    <w:rsid w:val="00C42DDA"/>
    <w:rsid w:val="00C7386E"/>
    <w:rsid w:val="00C73BEA"/>
    <w:rsid w:val="00C77A79"/>
    <w:rsid w:val="00C83508"/>
    <w:rsid w:val="00C84739"/>
    <w:rsid w:val="00C84E3D"/>
    <w:rsid w:val="00C86325"/>
    <w:rsid w:val="00CA4259"/>
    <w:rsid w:val="00CA5CD3"/>
    <w:rsid w:val="00CB1526"/>
    <w:rsid w:val="00CB2C19"/>
    <w:rsid w:val="00CB35DD"/>
    <w:rsid w:val="00CB7FD0"/>
    <w:rsid w:val="00CC7B0A"/>
    <w:rsid w:val="00CD0850"/>
    <w:rsid w:val="00CD0E7F"/>
    <w:rsid w:val="00CD27FE"/>
    <w:rsid w:val="00CE1F6F"/>
    <w:rsid w:val="00CF567E"/>
    <w:rsid w:val="00CF5BF7"/>
    <w:rsid w:val="00D005BC"/>
    <w:rsid w:val="00D02A1F"/>
    <w:rsid w:val="00D045C6"/>
    <w:rsid w:val="00D04C30"/>
    <w:rsid w:val="00D10237"/>
    <w:rsid w:val="00D15B07"/>
    <w:rsid w:val="00D256B6"/>
    <w:rsid w:val="00D273AD"/>
    <w:rsid w:val="00D379C2"/>
    <w:rsid w:val="00D42D55"/>
    <w:rsid w:val="00D506D7"/>
    <w:rsid w:val="00D546A3"/>
    <w:rsid w:val="00D54EF4"/>
    <w:rsid w:val="00D552C9"/>
    <w:rsid w:val="00D61215"/>
    <w:rsid w:val="00D65CE0"/>
    <w:rsid w:val="00D66F58"/>
    <w:rsid w:val="00D72331"/>
    <w:rsid w:val="00D92C5E"/>
    <w:rsid w:val="00D933CF"/>
    <w:rsid w:val="00D94638"/>
    <w:rsid w:val="00D9573B"/>
    <w:rsid w:val="00D96CB6"/>
    <w:rsid w:val="00DA29E6"/>
    <w:rsid w:val="00DB5864"/>
    <w:rsid w:val="00DC6A24"/>
    <w:rsid w:val="00DD2F13"/>
    <w:rsid w:val="00DD7DF2"/>
    <w:rsid w:val="00DE012A"/>
    <w:rsid w:val="00DE470E"/>
    <w:rsid w:val="00DE58F7"/>
    <w:rsid w:val="00DE7E5E"/>
    <w:rsid w:val="00DF0BCE"/>
    <w:rsid w:val="00DF5C72"/>
    <w:rsid w:val="00E0278C"/>
    <w:rsid w:val="00E02EDC"/>
    <w:rsid w:val="00E049EA"/>
    <w:rsid w:val="00E0530E"/>
    <w:rsid w:val="00E12A7D"/>
    <w:rsid w:val="00E13460"/>
    <w:rsid w:val="00E13EA4"/>
    <w:rsid w:val="00E26ACF"/>
    <w:rsid w:val="00E318EE"/>
    <w:rsid w:val="00E31D4C"/>
    <w:rsid w:val="00E3488C"/>
    <w:rsid w:val="00E45FC7"/>
    <w:rsid w:val="00E52772"/>
    <w:rsid w:val="00E53C93"/>
    <w:rsid w:val="00E5760D"/>
    <w:rsid w:val="00E605B4"/>
    <w:rsid w:val="00E656F7"/>
    <w:rsid w:val="00E6651F"/>
    <w:rsid w:val="00E70E2E"/>
    <w:rsid w:val="00E81155"/>
    <w:rsid w:val="00E85258"/>
    <w:rsid w:val="00E85675"/>
    <w:rsid w:val="00E92244"/>
    <w:rsid w:val="00EA73DD"/>
    <w:rsid w:val="00EA7A35"/>
    <w:rsid w:val="00EB4D4A"/>
    <w:rsid w:val="00EB5B21"/>
    <w:rsid w:val="00EB66B8"/>
    <w:rsid w:val="00EB75E6"/>
    <w:rsid w:val="00ED2F15"/>
    <w:rsid w:val="00ED3830"/>
    <w:rsid w:val="00ED708A"/>
    <w:rsid w:val="00EE3621"/>
    <w:rsid w:val="00EE5591"/>
    <w:rsid w:val="00EE62E4"/>
    <w:rsid w:val="00EE6A29"/>
    <w:rsid w:val="00EF31A2"/>
    <w:rsid w:val="00EF3CB2"/>
    <w:rsid w:val="00EF44EA"/>
    <w:rsid w:val="00F0140C"/>
    <w:rsid w:val="00F022B1"/>
    <w:rsid w:val="00F17B65"/>
    <w:rsid w:val="00F21DAA"/>
    <w:rsid w:val="00F24A2D"/>
    <w:rsid w:val="00F25ED5"/>
    <w:rsid w:val="00F3480B"/>
    <w:rsid w:val="00F37BB7"/>
    <w:rsid w:val="00F454E5"/>
    <w:rsid w:val="00F46EFB"/>
    <w:rsid w:val="00F57109"/>
    <w:rsid w:val="00F61B68"/>
    <w:rsid w:val="00F64888"/>
    <w:rsid w:val="00F656C9"/>
    <w:rsid w:val="00F66731"/>
    <w:rsid w:val="00F705B6"/>
    <w:rsid w:val="00F7237C"/>
    <w:rsid w:val="00F7596C"/>
    <w:rsid w:val="00F8568F"/>
    <w:rsid w:val="00F91386"/>
    <w:rsid w:val="00F931FF"/>
    <w:rsid w:val="00F93625"/>
    <w:rsid w:val="00F94C21"/>
    <w:rsid w:val="00F95297"/>
    <w:rsid w:val="00F9721D"/>
    <w:rsid w:val="00FA2996"/>
    <w:rsid w:val="00FA305E"/>
    <w:rsid w:val="00FB352F"/>
    <w:rsid w:val="00FB7B89"/>
    <w:rsid w:val="00FB7F87"/>
    <w:rsid w:val="00FC4057"/>
    <w:rsid w:val="00FC520E"/>
    <w:rsid w:val="00FC5D0E"/>
    <w:rsid w:val="00FD0D5E"/>
    <w:rsid w:val="00FD5C99"/>
    <w:rsid w:val="00FE403B"/>
    <w:rsid w:val="00FE7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A8"/>
  </w:style>
  <w:style w:type="paragraph" w:styleId="Heading1">
    <w:name w:val="heading 1"/>
    <w:basedOn w:val="Normal"/>
    <w:next w:val="Normal"/>
    <w:link w:val="Heading1Char"/>
    <w:uiPriority w:val="9"/>
    <w:qFormat/>
    <w:rsid w:val="00FB35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2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B5DE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294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C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C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7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7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79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7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79C2"/>
    <w:rPr>
      <w:b/>
      <w:bCs/>
    </w:rPr>
  </w:style>
  <w:style w:type="paragraph" w:styleId="BodyText">
    <w:name w:val="Body Text"/>
    <w:basedOn w:val="Normal"/>
    <w:link w:val="BodyTextChar"/>
    <w:rsid w:val="005679C2"/>
    <w:pPr>
      <w:spacing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9C2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5679C2"/>
    <w:pPr>
      <w:spacing w:after="120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79C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518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2B1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B5DE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B5D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29E6"/>
  </w:style>
  <w:style w:type="character" w:styleId="Emphasis">
    <w:name w:val="Emphasis"/>
    <w:basedOn w:val="DefaultParagraphFont"/>
    <w:uiPriority w:val="20"/>
    <w:qFormat/>
    <w:rsid w:val="00DA29E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B3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">
    <w:name w:val="name"/>
    <w:basedOn w:val="DefaultParagraphFont"/>
    <w:rsid w:val="00FB352F"/>
  </w:style>
  <w:style w:type="character" w:customStyle="1" w:styleId="Heading3Char">
    <w:name w:val="Heading 3 Char"/>
    <w:basedOn w:val="DefaultParagraphFont"/>
    <w:link w:val="Heading3"/>
    <w:uiPriority w:val="9"/>
    <w:semiHidden/>
    <w:rsid w:val="00B12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29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unhideWhenUsed/>
    <w:rsid w:val="008A256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256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2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962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0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8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0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73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23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1400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91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537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760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0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153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5059">
          <w:marLeft w:val="125"/>
          <w:marRight w:val="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801">
          <w:marLeft w:val="0"/>
          <w:marRight w:val="0"/>
          <w:marTop w:val="36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1725">
                      <w:marLeft w:val="272"/>
                      <w:marRight w:val="0"/>
                      <w:marTop w:val="136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3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00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64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145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13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0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610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179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01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68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97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589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9128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784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3594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6368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16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729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611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998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2855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12361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ffingtonpost.com/2012/05/29/jpmorgan-chase-securities-london-whale_n_1552037.html?view=print&amp;comm_ref=false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wsj.com/article/SB1000142405270230406570457742242221183182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ic.edu/classes/actg/actg593/Readings/Investments/Life%20and%20career%20of%20Abe%20Briloff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oomberg.com/news/print/2012-05-24/jpmorgan-makes-groupon-s-disclosures-look-goo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48577-2947-4024-93EA-1129EF8F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Villanova University</Company>
  <LinksUpToDate>false</LinksUpToDate>
  <CharactersWithSpaces>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Catanach</dc:creator>
  <cp:lastModifiedBy>Ed Ketz</cp:lastModifiedBy>
  <cp:revision>5</cp:revision>
  <cp:lastPrinted>2011-08-13T14:23:00Z</cp:lastPrinted>
  <dcterms:created xsi:type="dcterms:W3CDTF">2012-05-25T20:39:00Z</dcterms:created>
  <dcterms:modified xsi:type="dcterms:W3CDTF">2012-05-29T16:14:00Z</dcterms:modified>
</cp:coreProperties>
</file>