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C706C0" w:rsidP="00DD2F13">
      <w:pPr>
        <w:rPr>
          <w:rFonts w:ascii="Arial" w:hAnsi="Arial" w:cs="Arial"/>
          <w:b/>
          <w:sz w:val="28"/>
          <w:szCs w:val="28"/>
        </w:rPr>
      </w:pPr>
      <w:r>
        <w:rPr>
          <w:rFonts w:ascii="Arial" w:hAnsi="Arial" w:cs="Arial"/>
          <w:b/>
          <w:sz w:val="28"/>
          <w:szCs w:val="28"/>
        </w:rPr>
        <w:t>A NOTE ON THE RITE AID ANALYSIS; AND A POX ON THE FASB</w:t>
      </w:r>
    </w:p>
    <w:p w:rsidR="006772D0" w:rsidRPr="00DA3FB4" w:rsidRDefault="006772D0" w:rsidP="00DD2F13">
      <w:pPr>
        <w:rPr>
          <w:rFonts w:ascii="Arial" w:hAnsi="Arial" w:cs="Arial"/>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C706C0">
        <w:rPr>
          <w:rFonts w:ascii="Arial" w:hAnsi="Arial" w:cs="Arial"/>
          <w:b/>
          <w:i/>
          <w:sz w:val="24"/>
          <w:szCs w:val="24"/>
        </w:rPr>
        <w:t>May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DD2F13" w:rsidRDefault="00DD2F13" w:rsidP="00DA29E6">
      <w:pPr>
        <w:rPr>
          <w:rFonts w:ascii="Verdana" w:hAnsi="Verdana" w:cs="Arial"/>
          <w:sz w:val="24"/>
          <w:szCs w:val="24"/>
        </w:rPr>
      </w:pPr>
    </w:p>
    <w:p w:rsidR="00C706C0" w:rsidRDefault="00C706C0" w:rsidP="00DA29E6">
      <w:pPr>
        <w:rPr>
          <w:rFonts w:ascii="Verdana" w:hAnsi="Verdana" w:cs="Arial"/>
          <w:sz w:val="24"/>
          <w:szCs w:val="24"/>
        </w:rPr>
      </w:pPr>
      <w:r>
        <w:rPr>
          <w:rFonts w:ascii="Verdana" w:hAnsi="Verdana" w:cs="Arial"/>
          <w:sz w:val="24"/>
          <w:szCs w:val="24"/>
        </w:rPr>
        <w:t xml:space="preserve">Last time we discussed </w:t>
      </w:r>
      <w:hyperlink r:id="rId5" w:history="1">
        <w:r w:rsidRPr="00C706C0">
          <w:rPr>
            <w:rStyle w:val="Hyperlink"/>
            <w:rFonts w:ascii="Verdana" w:hAnsi="Verdana" w:cs="Arial"/>
            <w:sz w:val="24"/>
            <w:szCs w:val="24"/>
          </w:rPr>
          <w:t>Rite Aid and claimed the balance sheet was in shambles</w:t>
        </w:r>
      </w:hyperlink>
      <w:r>
        <w:rPr>
          <w:rFonts w:ascii="Verdana" w:hAnsi="Verdana" w:cs="Arial"/>
          <w:sz w:val="24"/>
          <w:szCs w:val="24"/>
        </w:rPr>
        <w:t xml:space="preserve">.  </w:t>
      </w:r>
      <w:r w:rsidR="005E1C80">
        <w:rPr>
          <w:rFonts w:ascii="Verdana" w:hAnsi="Verdana" w:cs="Arial"/>
          <w:sz w:val="24"/>
          <w:szCs w:val="24"/>
        </w:rPr>
        <w:t xml:space="preserve">Some fellow accounting professors objected to the analysis, so we need to respond to them.  We’ll </w:t>
      </w:r>
      <w:r w:rsidR="00C758E9">
        <w:rPr>
          <w:rFonts w:ascii="Verdana" w:hAnsi="Verdana" w:cs="Arial"/>
          <w:sz w:val="24"/>
          <w:szCs w:val="24"/>
        </w:rPr>
        <w:t>answer the</w:t>
      </w:r>
      <w:r w:rsidR="00212CAD">
        <w:rPr>
          <w:rFonts w:ascii="Verdana" w:hAnsi="Verdana" w:cs="Arial"/>
          <w:sz w:val="24"/>
          <w:szCs w:val="24"/>
        </w:rPr>
        <w:t xml:space="preserve"> criticism</w:t>
      </w:r>
      <w:r w:rsidR="00C758E9">
        <w:rPr>
          <w:rFonts w:ascii="Verdana" w:hAnsi="Verdana" w:cs="Arial"/>
          <w:sz w:val="24"/>
          <w:szCs w:val="24"/>
        </w:rPr>
        <w:t xml:space="preserve"> and point out the big point that they all missed.</w:t>
      </w:r>
    </w:p>
    <w:p w:rsidR="00C758E9" w:rsidRDefault="00C758E9" w:rsidP="00DA29E6">
      <w:pPr>
        <w:rPr>
          <w:rFonts w:ascii="Verdana" w:hAnsi="Verdana" w:cs="Arial"/>
          <w:sz w:val="24"/>
          <w:szCs w:val="24"/>
        </w:rPr>
      </w:pPr>
    </w:p>
    <w:p w:rsidR="00C758E9" w:rsidRDefault="00066FDC" w:rsidP="00DA29E6">
      <w:pPr>
        <w:rPr>
          <w:rFonts w:ascii="Verdana" w:hAnsi="Verdana" w:cs="Arial"/>
          <w:sz w:val="24"/>
          <w:szCs w:val="24"/>
        </w:rPr>
      </w:pPr>
      <w:r>
        <w:rPr>
          <w:rFonts w:ascii="Verdana" w:hAnsi="Verdana" w:cs="Arial"/>
          <w:sz w:val="24"/>
          <w:szCs w:val="24"/>
        </w:rPr>
        <w:t>You will recall that Rite Aid’s most recent balance sheets has total assets of $7,364, total liabilities of $9,951, and shareholders’ equity of $(2,587).  As before, all amounts are in millions of U.S. dollars.  We then said our estimate of the present value of the operating leases was $5,939, thereby increasing total debts to $15,890 and causing shareholders’ equity to dip to $(8,526).</w:t>
      </w:r>
    </w:p>
    <w:p w:rsidR="00066FDC" w:rsidRDefault="00066FDC" w:rsidP="00DA29E6">
      <w:pPr>
        <w:rPr>
          <w:rFonts w:ascii="Verdana" w:hAnsi="Verdana" w:cs="Arial"/>
          <w:sz w:val="24"/>
          <w:szCs w:val="24"/>
        </w:rPr>
      </w:pPr>
    </w:p>
    <w:p w:rsidR="00066FDC" w:rsidRDefault="005E1C80" w:rsidP="00DA29E6">
      <w:pPr>
        <w:rPr>
          <w:rFonts w:ascii="Verdana" w:hAnsi="Verdana" w:cs="Arial"/>
          <w:sz w:val="24"/>
          <w:szCs w:val="24"/>
        </w:rPr>
      </w:pPr>
      <w:r>
        <w:rPr>
          <w:rFonts w:ascii="Verdana" w:hAnsi="Verdana" w:cs="Arial"/>
          <w:sz w:val="24"/>
          <w:szCs w:val="24"/>
        </w:rPr>
        <w:t xml:space="preserve">The criticism we received concerns the hit to equity.  They state </w:t>
      </w:r>
      <w:r w:rsidR="0089454F">
        <w:rPr>
          <w:rFonts w:ascii="Verdana" w:hAnsi="Verdana" w:cs="Arial"/>
          <w:sz w:val="24"/>
          <w:szCs w:val="24"/>
        </w:rPr>
        <w:t xml:space="preserve">that the entire amount </w:t>
      </w:r>
      <w:r w:rsidR="009039AE">
        <w:rPr>
          <w:rFonts w:ascii="Verdana" w:hAnsi="Verdana" w:cs="Arial"/>
          <w:sz w:val="24"/>
          <w:szCs w:val="24"/>
        </w:rPr>
        <w:t>s</w:t>
      </w:r>
      <w:r w:rsidR="0089454F">
        <w:rPr>
          <w:rFonts w:ascii="Verdana" w:hAnsi="Verdana" w:cs="Arial"/>
          <w:sz w:val="24"/>
          <w:szCs w:val="24"/>
        </w:rPr>
        <w:t>hould not go against equity but that a sizeable amount should be in assets.</w:t>
      </w:r>
    </w:p>
    <w:p w:rsidR="00C706C0" w:rsidRDefault="00C706C0" w:rsidP="00DA29E6">
      <w:pPr>
        <w:rPr>
          <w:rFonts w:ascii="Verdana" w:hAnsi="Verdana" w:cs="Arial"/>
          <w:sz w:val="24"/>
          <w:szCs w:val="24"/>
        </w:rPr>
      </w:pPr>
    </w:p>
    <w:p w:rsidR="00C51A2C" w:rsidRDefault="0089454F" w:rsidP="00DA29E6">
      <w:pPr>
        <w:rPr>
          <w:rFonts w:ascii="Verdana" w:hAnsi="Verdana" w:cs="Arial"/>
          <w:sz w:val="24"/>
          <w:szCs w:val="24"/>
        </w:rPr>
      </w:pPr>
      <w:r>
        <w:rPr>
          <w:rFonts w:ascii="Verdana" w:hAnsi="Verdana" w:cs="Arial"/>
          <w:sz w:val="24"/>
          <w:szCs w:val="24"/>
        </w:rPr>
        <w:t xml:space="preserve">The </w:t>
      </w:r>
      <w:r w:rsidR="0004214B">
        <w:rPr>
          <w:rFonts w:ascii="Verdana" w:hAnsi="Verdana" w:cs="Arial"/>
          <w:sz w:val="24"/>
          <w:szCs w:val="24"/>
        </w:rPr>
        <w:t xml:space="preserve">criticism </w:t>
      </w:r>
      <w:r>
        <w:rPr>
          <w:rFonts w:ascii="Verdana" w:hAnsi="Verdana" w:cs="Arial"/>
          <w:sz w:val="24"/>
          <w:szCs w:val="24"/>
        </w:rPr>
        <w:t xml:space="preserve">is well taken—up to a point.  Our analysis indicated that the assets were over half depreciated, so only a relatively small portion would be added to the left-hand side of the balance sheet.  </w:t>
      </w:r>
      <w:r w:rsidR="005E1C80">
        <w:rPr>
          <w:rFonts w:ascii="Verdana" w:hAnsi="Verdana" w:cs="Arial"/>
          <w:sz w:val="24"/>
          <w:szCs w:val="24"/>
        </w:rPr>
        <w:t>Besides, as Rite Aid is a Pennsylvania corporation, we have been in several of the stores</w:t>
      </w:r>
      <w:r w:rsidR="009039AE">
        <w:rPr>
          <w:rFonts w:ascii="Verdana" w:hAnsi="Verdana" w:cs="Arial"/>
          <w:sz w:val="24"/>
          <w:szCs w:val="24"/>
        </w:rPr>
        <w:t>,</w:t>
      </w:r>
      <w:r w:rsidR="005E1C80">
        <w:rPr>
          <w:rFonts w:ascii="Verdana" w:hAnsi="Verdana" w:cs="Arial"/>
          <w:sz w:val="24"/>
          <w:szCs w:val="24"/>
        </w:rPr>
        <w:t xml:space="preserve"> and we think that the fair </w:t>
      </w:r>
      <w:r w:rsidR="009039AE">
        <w:rPr>
          <w:rFonts w:ascii="Verdana" w:hAnsi="Verdana" w:cs="Arial"/>
          <w:sz w:val="24"/>
          <w:szCs w:val="24"/>
        </w:rPr>
        <w:t>value of the leases needs</w:t>
      </w:r>
      <w:r w:rsidR="005E1C80">
        <w:rPr>
          <w:rFonts w:ascii="Verdana" w:hAnsi="Verdana" w:cs="Arial"/>
          <w:sz w:val="24"/>
          <w:szCs w:val="24"/>
        </w:rPr>
        <w:t xml:space="preserve"> to be written down.  </w:t>
      </w:r>
      <w:r>
        <w:rPr>
          <w:rFonts w:ascii="Verdana" w:hAnsi="Verdana" w:cs="Arial"/>
          <w:sz w:val="24"/>
          <w:szCs w:val="24"/>
        </w:rPr>
        <w:t xml:space="preserve">At that point we took a short cut and assumed none of it would be there.  It made the work a lot shorter and </w:t>
      </w:r>
      <w:r w:rsidR="006C2776">
        <w:rPr>
          <w:rFonts w:ascii="Verdana" w:hAnsi="Verdana" w:cs="Arial"/>
          <w:sz w:val="24"/>
          <w:szCs w:val="24"/>
        </w:rPr>
        <w:t xml:space="preserve">helped us to </w:t>
      </w:r>
      <w:r>
        <w:rPr>
          <w:rFonts w:ascii="Verdana" w:hAnsi="Verdana" w:cs="Arial"/>
          <w:sz w:val="24"/>
          <w:szCs w:val="24"/>
        </w:rPr>
        <w:t>ma</w:t>
      </w:r>
      <w:r w:rsidR="006C2776">
        <w:rPr>
          <w:rFonts w:ascii="Verdana" w:hAnsi="Verdana" w:cs="Arial"/>
          <w:sz w:val="24"/>
          <w:szCs w:val="24"/>
        </w:rPr>
        <w:t>k</w:t>
      </w:r>
      <w:r>
        <w:rPr>
          <w:rFonts w:ascii="Verdana" w:hAnsi="Verdana" w:cs="Arial"/>
          <w:sz w:val="24"/>
          <w:szCs w:val="24"/>
        </w:rPr>
        <w:t>e our point succinctly.</w:t>
      </w:r>
    </w:p>
    <w:p w:rsidR="0089454F" w:rsidRDefault="0089454F" w:rsidP="00DA29E6">
      <w:pPr>
        <w:rPr>
          <w:rFonts w:ascii="Verdana" w:hAnsi="Verdana" w:cs="Arial"/>
          <w:sz w:val="24"/>
          <w:szCs w:val="24"/>
        </w:rPr>
      </w:pPr>
    </w:p>
    <w:p w:rsidR="0089454F" w:rsidRDefault="006C2776" w:rsidP="00DA29E6">
      <w:pPr>
        <w:rPr>
          <w:rFonts w:ascii="Verdana" w:hAnsi="Verdana" w:cs="Arial"/>
          <w:sz w:val="24"/>
          <w:szCs w:val="24"/>
        </w:rPr>
      </w:pPr>
      <w:r>
        <w:rPr>
          <w:rFonts w:ascii="Verdana" w:hAnsi="Verdana" w:cs="Arial"/>
          <w:sz w:val="24"/>
          <w:szCs w:val="24"/>
        </w:rPr>
        <w:t xml:space="preserve">But, since </w:t>
      </w:r>
      <w:r w:rsidR="00DD28D1">
        <w:rPr>
          <w:rFonts w:ascii="Verdana" w:hAnsi="Verdana" w:cs="Arial"/>
          <w:sz w:val="24"/>
          <w:szCs w:val="24"/>
        </w:rPr>
        <w:t>our friends and associates</w:t>
      </w:r>
      <w:r>
        <w:rPr>
          <w:rFonts w:ascii="Verdana" w:hAnsi="Verdana" w:cs="Arial"/>
          <w:sz w:val="24"/>
          <w:szCs w:val="24"/>
        </w:rPr>
        <w:t xml:space="preserve"> want a full-blown adjustment</w:t>
      </w:r>
      <w:r w:rsidR="00DD28D1">
        <w:rPr>
          <w:rFonts w:ascii="Verdana" w:hAnsi="Verdana" w:cs="Arial"/>
          <w:sz w:val="24"/>
          <w:szCs w:val="24"/>
        </w:rPr>
        <w:t xml:space="preserve"> instead of this raw short cut</w:t>
      </w:r>
      <w:r>
        <w:rPr>
          <w:rFonts w:ascii="Verdana" w:hAnsi="Verdana" w:cs="Arial"/>
          <w:sz w:val="24"/>
          <w:szCs w:val="24"/>
        </w:rPr>
        <w:t xml:space="preserve">, here goes.  We adjust the income statement by taking out rental expense and by adding in depreciation, interest, and </w:t>
      </w:r>
      <w:r w:rsidR="00811C4B">
        <w:rPr>
          <w:rFonts w:ascii="Verdana" w:hAnsi="Verdana" w:cs="Arial"/>
          <w:sz w:val="24"/>
          <w:szCs w:val="24"/>
        </w:rPr>
        <w:t xml:space="preserve">the differential </w:t>
      </w:r>
      <w:r>
        <w:rPr>
          <w:rFonts w:ascii="Verdana" w:hAnsi="Verdana" w:cs="Arial"/>
          <w:sz w:val="24"/>
          <w:szCs w:val="24"/>
        </w:rPr>
        <w:t xml:space="preserve">income tax.  We adjust the assets in the balance sheet for the leased resources minus their accumulated depreciation.  We adjust the current debts for the present value of next year’s lease payment.  We adjust noncurrent debts for the present value of the remaining lease payments and for deferred income taxes.  Finally, we adjust the stockholders’ equity for the cumulative effect of past year differences in the </w:t>
      </w:r>
      <w:r w:rsidR="00DD28D1">
        <w:rPr>
          <w:rFonts w:ascii="Verdana" w:hAnsi="Verdana" w:cs="Arial"/>
          <w:sz w:val="24"/>
          <w:szCs w:val="24"/>
        </w:rPr>
        <w:t xml:space="preserve">firm’s </w:t>
      </w:r>
      <w:r>
        <w:rPr>
          <w:rFonts w:ascii="Verdana" w:hAnsi="Verdana" w:cs="Arial"/>
          <w:sz w:val="24"/>
          <w:szCs w:val="24"/>
        </w:rPr>
        <w:t>net income.</w:t>
      </w:r>
    </w:p>
    <w:p w:rsidR="00C51A2C" w:rsidRDefault="00C51A2C" w:rsidP="00DA29E6">
      <w:pPr>
        <w:rPr>
          <w:rFonts w:ascii="Verdana" w:hAnsi="Verdana" w:cs="Arial"/>
          <w:sz w:val="24"/>
          <w:szCs w:val="24"/>
        </w:rPr>
      </w:pPr>
    </w:p>
    <w:p w:rsidR="00DD28D1" w:rsidRDefault="00DD28D1" w:rsidP="00DA29E6">
      <w:pPr>
        <w:rPr>
          <w:rFonts w:ascii="Verdana" w:hAnsi="Verdana" w:cs="Arial"/>
          <w:sz w:val="24"/>
          <w:szCs w:val="24"/>
        </w:rPr>
      </w:pPr>
      <w:r>
        <w:rPr>
          <w:rFonts w:ascii="Verdana" w:hAnsi="Verdana" w:cs="Arial"/>
          <w:sz w:val="24"/>
          <w:szCs w:val="24"/>
        </w:rPr>
        <w:t>What we find is the following:</w:t>
      </w:r>
    </w:p>
    <w:p w:rsidR="00DD28D1" w:rsidRDefault="00DD28D1" w:rsidP="00DA29E6">
      <w:pPr>
        <w:rPr>
          <w:rFonts w:ascii="Verdana" w:hAnsi="Verdana" w:cs="Arial"/>
          <w:sz w:val="24"/>
          <w:szCs w:val="24"/>
        </w:rPr>
      </w:pPr>
    </w:p>
    <w:tbl>
      <w:tblPr>
        <w:tblW w:w="5748"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386"/>
        <w:gridCol w:w="1450"/>
        <w:gridCol w:w="1640"/>
      </w:tblGrid>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jc w:val="center"/>
              <w:rPr>
                <w:rFonts w:ascii="Verdana" w:eastAsia="Times New Roman" w:hAnsi="Verdana" w:cs="Arial"/>
                <w:color w:val="000000"/>
                <w:sz w:val="24"/>
                <w:szCs w:val="24"/>
                <w:u w:val="single"/>
              </w:rPr>
            </w:pPr>
            <w:r w:rsidRPr="00BE231B">
              <w:rPr>
                <w:rFonts w:ascii="Verdana" w:eastAsia="Times New Roman" w:hAnsi="Verdana" w:cs="Arial"/>
                <w:color w:val="000000"/>
                <w:sz w:val="24"/>
                <w:szCs w:val="24"/>
                <w:u w:val="single"/>
              </w:rPr>
              <w:t>Reported</w:t>
            </w:r>
          </w:p>
        </w:tc>
        <w:tc>
          <w:tcPr>
            <w:tcW w:w="1640" w:type="dxa"/>
            <w:shd w:val="clear" w:color="auto" w:fill="auto"/>
            <w:noWrap/>
            <w:vAlign w:val="bottom"/>
            <w:hideMark/>
          </w:tcPr>
          <w:p w:rsidR="00BE231B" w:rsidRPr="00BE231B" w:rsidRDefault="00BE231B" w:rsidP="00BE231B">
            <w:pPr>
              <w:jc w:val="center"/>
              <w:rPr>
                <w:rFonts w:ascii="Verdana" w:eastAsia="Times New Roman" w:hAnsi="Verdana" w:cs="Arial"/>
                <w:color w:val="000000"/>
                <w:sz w:val="24"/>
                <w:szCs w:val="24"/>
                <w:u w:val="single"/>
              </w:rPr>
            </w:pPr>
            <w:r w:rsidRPr="00BE231B">
              <w:rPr>
                <w:rFonts w:ascii="Verdana" w:eastAsia="Times New Roman" w:hAnsi="Verdana" w:cs="Arial"/>
                <w:color w:val="000000"/>
                <w:sz w:val="24"/>
                <w:szCs w:val="24"/>
                <w:u w:val="single"/>
              </w:rPr>
              <w:t>Adjusted</w:t>
            </w:r>
          </w:p>
        </w:tc>
      </w:tr>
      <w:tr w:rsidR="00BE231B" w:rsidRPr="00BE231B" w:rsidTr="00A94692">
        <w:trPr>
          <w:trHeight w:val="300"/>
          <w:jc w:val="center"/>
        </w:trPr>
        <w:tc>
          <w:tcPr>
            <w:tcW w:w="2658" w:type="dxa"/>
            <w:gridSpan w:val="2"/>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Revenues</w:t>
            </w: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26,121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26,121 </w:t>
            </w:r>
          </w:p>
        </w:tc>
      </w:tr>
      <w:tr w:rsidR="00BE231B" w:rsidRPr="00BE231B" w:rsidTr="00A94692">
        <w:trPr>
          <w:trHeight w:val="300"/>
          <w:jc w:val="center"/>
        </w:trPr>
        <w:tc>
          <w:tcPr>
            <w:tcW w:w="2658" w:type="dxa"/>
            <w:gridSpan w:val="2"/>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lastRenderedPageBreak/>
              <w:t>Expense</w:t>
            </w: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26,490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26,472 </w:t>
            </w:r>
          </w:p>
        </w:tc>
      </w:tr>
      <w:tr w:rsidR="00BE231B" w:rsidRPr="00BE231B" w:rsidTr="00A94692">
        <w:trPr>
          <w:trHeight w:val="300"/>
          <w:jc w:val="center"/>
        </w:trPr>
        <w:tc>
          <w:tcPr>
            <w:tcW w:w="2658" w:type="dxa"/>
            <w:gridSpan w:val="2"/>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Net income</w:t>
            </w: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(368)</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(351)</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64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64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64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r>
      <w:tr w:rsidR="00BE231B" w:rsidRPr="00BE231B" w:rsidTr="00A94692">
        <w:trPr>
          <w:trHeight w:val="300"/>
          <w:jc w:val="center"/>
        </w:trPr>
        <w:tc>
          <w:tcPr>
            <w:tcW w:w="2658" w:type="dxa"/>
            <w:gridSpan w:val="2"/>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Current assets</w:t>
            </w: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4,504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4,50</w:t>
            </w:r>
            <w:r>
              <w:rPr>
                <w:rFonts w:ascii="Verdana" w:eastAsia="Times New Roman" w:hAnsi="Verdana" w:cs="Arial"/>
                <w:color w:val="000000"/>
                <w:sz w:val="24"/>
                <w:szCs w:val="24"/>
              </w:rPr>
              <w:t>4</w:t>
            </w:r>
            <w:r w:rsidRPr="00BE231B">
              <w:rPr>
                <w:rFonts w:ascii="Verdana" w:eastAsia="Times New Roman" w:hAnsi="Verdana" w:cs="Arial"/>
                <w:color w:val="000000"/>
                <w:sz w:val="24"/>
                <w:szCs w:val="24"/>
              </w:rPr>
              <w:t xml:space="preserve"> </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Plant</w:t>
            </w: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2,860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5,17</w:t>
            </w:r>
            <w:r>
              <w:rPr>
                <w:rFonts w:ascii="Verdana" w:eastAsia="Times New Roman" w:hAnsi="Verdana" w:cs="Arial"/>
                <w:color w:val="000000"/>
                <w:sz w:val="24"/>
                <w:szCs w:val="24"/>
              </w:rPr>
              <w:t>7</w:t>
            </w:r>
            <w:r w:rsidRPr="00BE231B">
              <w:rPr>
                <w:rFonts w:ascii="Verdana" w:eastAsia="Times New Roman" w:hAnsi="Verdana" w:cs="Arial"/>
                <w:color w:val="000000"/>
                <w:sz w:val="24"/>
                <w:szCs w:val="24"/>
              </w:rPr>
              <w:t xml:space="preserve"> </w:t>
            </w:r>
          </w:p>
        </w:tc>
      </w:tr>
      <w:tr w:rsidR="00BE231B" w:rsidRPr="00BE231B" w:rsidTr="00A94692">
        <w:trPr>
          <w:trHeight w:val="300"/>
          <w:jc w:val="center"/>
        </w:trPr>
        <w:tc>
          <w:tcPr>
            <w:tcW w:w="2658" w:type="dxa"/>
            <w:gridSpan w:val="2"/>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Total assets</w:t>
            </w: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7,364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9,681 </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640"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r>
      <w:tr w:rsidR="00BE231B" w:rsidRPr="00BE231B" w:rsidTr="00A94692">
        <w:trPr>
          <w:trHeight w:val="300"/>
          <w:jc w:val="center"/>
        </w:trPr>
        <w:tc>
          <w:tcPr>
            <w:tcW w:w="2658" w:type="dxa"/>
            <w:gridSpan w:val="2"/>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Current debts</w:t>
            </w: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2,570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3,547 </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9119CB">
            <w:pPr>
              <w:rPr>
                <w:rFonts w:ascii="Verdana" w:eastAsia="Times New Roman" w:hAnsi="Verdana" w:cs="Arial"/>
                <w:color w:val="000000"/>
                <w:sz w:val="24"/>
                <w:szCs w:val="24"/>
              </w:rPr>
            </w:pPr>
            <w:r w:rsidRPr="00BE231B">
              <w:rPr>
                <w:rFonts w:ascii="Verdana" w:eastAsia="Times New Roman" w:hAnsi="Verdana" w:cs="Arial"/>
                <w:color w:val="000000"/>
                <w:sz w:val="24"/>
                <w:szCs w:val="24"/>
              </w:rPr>
              <w:t>L</w:t>
            </w:r>
            <w:r w:rsidR="009119CB">
              <w:rPr>
                <w:rFonts w:ascii="Verdana" w:eastAsia="Times New Roman" w:hAnsi="Verdana" w:cs="Arial"/>
                <w:color w:val="000000"/>
                <w:sz w:val="24"/>
                <w:szCs w:val="24"/>
              </w:rPr>
              <w:t>ong-term debts</w:t>
            </w: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7,381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12,438 </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9119CB">
            <w:pPr>
              <w:rPr>
                <w:rFonts w:ascii="Verdana" w:eastAsia="Times New Roman" w:hAnsi="Verdana" w:cs="Arial"/>
                <w:color w:val="000000"/>
                <w:sz w:val="24"/>
                <w:szCs w:val="24"/>
              </w:rPr>
            </w:pPr>
            <w:r w:rsidRPr="00BE231B">
              <w:rPr>
                <w:rFonts w:ascii="Verdana" w:eastAsia="Times New Roman" w:hAnsi="Verdana" w:cs="Arial"/>
                <w:color w:val="000000"/>
                <w:sz w:val="24"/>
                <w:szCs w:val="24"/>
              </w:rPr>
              <w:t>T</w:t>
            </w:r>
            <w:r w:rsidR="009119CB">
              <w:rPr>
                <w:rFonts w:ascii="Verdana" w:eastAsia="Times New Roman" w:hAnsi="Verdana" w:cs="Arial"/>
                <w:color w:val="000000"/>
                <w:sz w:val="24"/>
                <w:szCs w:val="24"/>
              </w:rPr>
              <w:t>otal debts</w:t>
            </w: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9,951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15,985 </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Equity</w:t>
            </w: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(2,586)</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(6,304)</w:t>
            </w:r>
          </w:p>
        </w:tc>
      </w:tr>
      <w:tr w:rsidR="00BE231B" w:rsidRPr="00BE231B" w:rsidTr="00A94692">
        <w:trPr>
          <w:trHeight w:val="300"/>
          <w:jc w:val="center"/>
        </w:trPr>
        <w:tc>
          <w:tcPr>
            <w:tcW w:w="2272"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r w:rsidRPr="00BE231B">
              <w:rPr>
                <w:rFonts w:ascii="Verdana" w:eastAsia="Times New Roman" w:hAnsi="Verdana" w:cs="Arial"/>
                <w:color w:val="000000"/>
                <w:sz w:val="24"/>
                <w:szCs w:val="24"/>
              </w:rPr>
              <w:t>Total</w:t>
            </w:r>
          </w:p>
        </w:tc>
        <w:tc>
          <w:tcPr>
            <w:tcW w:w="386" w:type="dxa"/>
            <w:shd w:val="clear" w:color="auto" w:fill="auto"/>
            <w:noWrap/>
            <w:vAlign w:val="bottom"/>
            <w:hideMark/>
          </w:tcPr>
          <w:p w:rsidR="00BE231B" w:rsidRPr="00BE231B" w:rsidRDefault="00BE231B" w:rsidP="00BE231B">
            <w:pPr>
              <w:rPr>
                <w:rFonts w:ascii="Verdana" w:eastAsia="Times New Roman" w:hAnsi="Verdana" w:cs="Arial"/>
                <w:color w:val="000000"/>
                <w:sz w:val="24"/>
                <w:szCs w:val="24"/>
              </w:rPr>
            </w:pPr>
          </w:p>
        </w:tc>
        <w:tc>
          <w:tcPr>
            <w:tcW w:w="145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7,364 </w:t>
            </w:r>
          </w:p>
        </w:tc>
        <w:tc>
          <w:tcPr>
            <w:tcW w:w="1640" w:type="dxa"/>
            <w:shd w:val="clear" w:color="auto" w:fill="auto"/>
            <w:noWrap/>
            <w:vAlign w:val="bottom"/>
            <w:hideMark/>
          </w:tcPr>
          <w:p w:rsidR="00BE231B" w:rsidRPr="00BE231B" w:rsidRDefault="00BE231B" w:rsidP="00BE231B">
            <w:pPr>
              <w:jc w:val="right"/>
              <w:rPr>
                <w:rFonts w:ascii="Verdana" w:eastAsia="Times New Roman" w:hAnsi="Verdana" w:cs="Arial"/>
                <w:color w:val="000000"/>
                <w:sz w:val="24"/>
                <w:szCs w:val="24"/>
              </w:rPr>
            </w:pPr>
            <w:r w:rsidRPr="00BE231B">
              <w:rPr>
                <w:rFonts w:ascii="Verdana" w:eastAsia="Times New Roman" w:hAnsi="Verdana" w:cs="Arial"/>
                <w:color w:val="000000"/>
                <w:sz w:val="24"/>
                <w:szCs w:val="24"/>
              </w:rPr>
              <w:t xml:space="preserve">9,681 </w:t>
            </w:r>
          </w:p>
        </w:tc>
      </w:tr>
    </w:tbl>
    <w:p w:rsidR="00DD28D1" w:rsidRDefault="00DD28D1" w:rsidP="00DA29E6">
      <w:pPr>
        <w:rPr>
          <w:rFonts w:ascii="Verdana" w:hAnsi="Verdana" w:cs="Arial"/>
          <w:sz w:val="24"/>
          <w:szCs w:val="24"/>
        </w:rPr>
      </w:pPr>
    </w:p>
    <w:p w:rsidR="00DD28D1" w:rsidRDefault="00DD28D1" w:rsidP="00DA29E6">
      <w:pPr>
        <w:rPr>
          <w:rFonts w:ascii="Verdana" w:hAnsi="Verdana" w:cs="Arial"/>
          <w:sz w:val="24"/>
          <w:szCs w:val="24"/>
        </w:rPr>
      </w:pPr>
    </w:p>
    <w:p w:rsidR="00DD28D1" w:rsidRDefault="00194108" w:rsidP="00DA29E6">
      <w:pPr>
        <w:rPr>
          <w:rFonts w:ascii="Verdana" w:hAnsi="Verdana" w:cs="Arial"/>
          <w:sz w:val="24"/>
          <w:szCs w:val="24"/>
        </w:rPr>
      </w:pPr>
      <w:r>
        <w:rPr>
          <w:rFonts w:ascii="Verdana" w:hAnsi="Verdana" w:cs="Arial"/>
          <w:sz w:val="24"/>
          <w:szCs w:val="24"/>
        </w:rPr>
        <w:t>Yes, the total assets are larger by $2.3 billion, but notice that the total debts are larger by $6 billion and the shareholders’ equity is lower by $3.7 billion.</w:t>
      </w:r>
      <w:r w:rsidR="0055686E">
        <w:rPr>
          <w:rFonts w:ascii="Verdana" w:hAnsi="Verdana" w:cs="Arial"/>
          <w:sz w:val="24"/>
          <w:szCs w:val="24"/>
        </w:rPr>
        <w:t xml:space="preserve">  (The liabilities are higher than the $5.9 we previously mentioned because now we are including the deferred income tax effect.)</w:t>
      </w:r>
    </w:p>
    <w:p w:rsidR="00DD28D1" w:rsidRDefault="00DD28D1" w:rsidP="00DA29E6">
      <w:pPr>
        <w:rPr>
          <w:rFonts w:ascii="Verdana" w:hAnsi="Verdana" w:cs="Arial"/>
          <w:sz w:val="24"/>
          <w:szCs w:val="24"/>
        </w:rPr>
      </w:pPr>
    </w:p>
    <w:p w:rsidR="000F2DC8" w:rsidRDefault="00194108" w:rsidP="00DA29E6">
      <w:pPr>
        <w:rPr>
          <w:rFonts w:ascii="Verdana" w:hAnsi="Verdana" w:cs="Arial"/>
          <w:sz w:val="24"/>
          <w:szCs w:val="24"/>
        </w:rPr>
      </w:pPr>
      <w:r>
        <w:rPr>
          <w:rFonts w:ascii="Verdana" w:hAnsi="Verdana" w:cs="Arial"/>
          <w:sz w:val="24"/>
          <w:szCs w:val="24"/>
        </w:rPr>
        <w:t xml:space="preserve">So </w:t>
      </w:r>
      <w:r w:rsidR="005E1C80">
        <w:rPr>
          <w:rFonts w:ascii="Verdana" w:hAnsi="Verdana" w:cs="Arial"/>
          <w:sz w:val="24"/>
          <w:szCs w:val="24"/>
        </w:rPr>
        <w:t xml:space="preserve">the criticism </w:t>
      </w:r>
      <w:r>
        <w:rPr>
          <w:rFonts w:ascii="Verdana" w:hAnsi="Verdana" w:cs="Arial"/>
          <w:sz w:val="24"/>
          <w:szCs w:val="24"/>
        </w:rPr>
        <w:t xml:space="preserve">is correct inasmuch as the full $5.9 billion does not decrease equity, only $3.7 billion.  But given that we originally just wanted a rough approximation, we still don’t think it was off as badly as our </w:t>
      </w:r>
      <w:r w:rsidR="005E1C80">
        <w:rPr>
          <w:rFonts w:ascii="Verdana" w:hAnsi="Verdana" w:cs="Arial"/>
          <w:sz w:val="24"/>
          <w:szCs w:val="24"/>
        </w:rPr>
        <w:t>colleagues</w:t>
      </w:r>
      <w:r>
        <w:rPr>
          <w:rFonts w:ascii="Verdana" w:hAnsi="Verdana" w:cs="Arial"/>
          <w:sz w:val="24"/>
          <w:szCs w:val="24"/>
        </w:rPr>
        <w:t xml:space="preserve"> thought.  </w:t>
      </w:r>
      <w:r w:rsidR="005E1C80">
        <w:rPr>
          <w:rFonts w:ascii="Verdana" w:hAnsi="Verdana" w:cs="Arial"/>
          <w:sz w:val="24"/>
          <w:szCs w:val="24"/>
        </w:rPr>
        <w:t>A</w:t>
      </w:r>
      <w:r>
        <w:rPr>
          <w:rFonts w:ascii="Verdana" w:hAnsi="Verdana" w:cs="Arial"/>
          <w:sz w:val="24"/>
          <w:szCs w:val="24"/>
        </w:rPr>
        <w:t>s they are obviously are watching carefully, we promise not to take this short cut again.</w:t>
      </w:r>
    </w:p>
    <w:p w:rsidR="00194108" w:rsidRDefault="00194108" w:rsidP="00DA29E6">
      <w:pPr>
        <w:rPr>
          <w:rFonts w:ascii="Verdana" w:hAnsi="Verdana" w:cs="Arial"/>
          <w:sz w:val="24"/>
          <w:szCs w:val="24"/>
        </w:rPr>
      </w:pPr>
    </w:p>
    <w:p w:rsidR="00194108" w:rsidRDefault="00194108" w:rsidP="00DA29E6">
      <w:pPr>
        <w:rPr>
          <w:rFonts w:ascii="Verdana" w:hAnsi="Verdana" w:cs="Arial"/>
          <w:sz w:val="24"/>
          <w:szCs w:val="24"/>
        </w:rPr>
      </w:pPr>
      <w:r>
        <w:rPr>
          <w:rFonts w:ascii="Verdana" w:hAnsi="Verdana" w:cs="Arial"/>
          <w:sz w:val="24"/>
          <w:szCs w:val="24"/>
        </w:rPr>
        <w:t xml:space="preserve">Having said that mea culpa, </w:t>
      </w:r>
      <w:r w:rsidR="005E1C80">
        <w:rPr>
          <w:rFonts w:ascii="Verdana" w:hAnsi="Verdana" w:cs="Arial"/>
          <w:sz w:val="24"/>
          <w:szCs w:val="24"/>
        </w:rPr>
        <w:t>let’s observe</w:t>
      </w:r>
      <w:r>
        <w:rPr>
          <w:rFonts w:ascii="Verdana" w:hAnsi="Verdana" w:cs="Arial"/>
          <w:sz w:val="24"/>
          <w:szCs w:val="24"/>
        </w:rPr>
        <w:t xml:space="preserve"> that the thrust of our previous work is</w:t>
      </w:r>
      <w:r w:rsidR="0055686E">
        <w:rPr>
          <w:rFonts w:ascii="Verdana" w:hAnsi="Verdana" w:cs="Arial"/>
          <w:sz w:val="24"/>
          <w:szCs w:val="24"/>
        </w:rPr>
        <w:t xml:space="preserve"> correct</w:t>
      </w:r>
      <w:r>
        <w:rPr>
          <w:rFonts w:ascii="Verdana" w:hAnsi="Verdana" w:cs="Arial"/>
          <w:sz w:val="24"/>
          <w:szCs w:val="24"/>
        </w:rPr>
        <w:t xml:space="preserve">.  The balance sheet of Rite Aid </w:t>
      </w:r>
      <w:r w:rsidRPr="00194108">
        <w:rPr>
          <w:rFonts w:ascii="Verdana" w:hAnsi="Verdana" w:cs="Arial"/>
          <w:i/>
          <w:sz w:val="24"/>
          <w:szCs w:val="24"/>
        </w:rPr>
        <w:t>is</w:t>
      </w:r>
      <w:r>
        <w:rPr>
          <w:rFonts w:ascii="Verdana" w:hAnsi="Verdana" w:cs="Arial"/>
          <w:sz w:val="24"/>
          <w:szCs w:val="24"/>
        </w:rPr>
        <w:t xml:space="preserve"> in shambles and the losses </w:t>
      </w:r>
      <w:r w:rsidRPr="00194108">
        <w:rPr>
          <w:rFonts w:ascii="Verdana" w:hAnsi="Verdana" w:cs="Arial"/>
          <w:i/>
          <w:sz w:val="24"/>
          <w:szCs w:val="24"/>
        </w:rPr>
        <w:t>are</w:t>
      </w:r>
      <w:r>
        <w:rPr>
          <w:rFonts w:ascii="Verdana" w:hAnsi="Verdana" w:cs="Arial"/>
          <w:sz w:val="24"/>
          <w:szCs w:val="24"/>
        </w:rPr>
        <w:t xml:space="preserve"> habitual.  Operating cash flows are higher than reported, as we explained in the previous column, but that implies that financing cash outflows are correspondingly worse.  Rite Aid </w:t>
      </w:r>
      <w:r w:rsidRPr="00194108">
        <w:rPr>
          <w:rFonts w:ascii="Verdana" w:hAnsi="Verdana" w:cs="Arial"/>
          <w:i/>
          <w:sz w:val="24"/>
          <w:szCs w:val="24"/>
        </w:rPr>
        <w:t xml:space="preserve">is </w:t>
      </w:r>
      <w:r>
        <w:rPr>
          <w:rFonts w:ascii="Verdana" w:hAnsi="Verdana" w:cs="Arial"/>
          <w:sz w:val="24"/>
          <w:szCs w:val="24"/>
        </w:rPr>
        <w:t>in trouble.</w:t>
      </w:r>
    </w:p>
    <w:p w:rsidR="00194108" w:rsidRDefault="00194108" w:rsidP="00DA29E6">
      <w:pPr>
        <w:rPr>
          <w:rFonts w:ascii="Verdana" w:hAnsi="Verdana" w:cs="Arial"/>
          <w:sz w:val="24"/>
          <w:szCs w:val="24"/>
        </w:rPr>
      </w:pPr>
    </w:p>
    <w:p w:rsidR="00194108" w:rsidRDefault="009039AE" w:rsidP="00DA29E6">
      <w:pPr>
        <w:rPr>
          <w:rFonts w:ascii="Verdana" w:hAnsi="Verdana" w:cs="Arial"/>
          <w:sz w:val="24"/>
          <w:szCs w:val="24"/>
        </w:rPr>
      </w:pPr>
      <w:r>
        <w:rPr>
          <w:rFonts w:ascii="Verdana" w:hAnsi="Verdana" w:cs="Arial"/>
          <w:sz w:val="24"/>
          <w:szCs w:val="24"/>
        </w:rPr>
        <w:t xml:space="preserve">Before leaving this topic, let’s take a step back and reflect upon the exercise.  </w:t>
      </w:r>
      <w:r w:rsidR="00194108">
        <w:rPr>
          <w:rFonts w:ascii="Verdana" w:hAnsi="Verdana" w:cs="Arial"/>
          <w:sz w:val="24"/>
          <w:szCs w:val="24"/>
        </w:rPr>
        <w:t>As financial analysts, we make these estimates because we prefer to be approximately accurate in the corporate accounts rather than using the precisely wrong accounts in the reported financial statements.</w:t>
      </w:r>
      <w:r w:rsidR="0095314B">
        <w:rPr>
          <w:rFonts w:ascii="Verdana" w:hAnsi="Verdana" w:cs="Arial"/>
          <w:sz w:val="24"/>
          <w:szCs w:val="24"/>
        </w:rPr>
        <w:t xml:space="preserve">  These estimates involve assumptions and so will always contain error, and pundits will always be in a position to question the estimation process.  If we could only eliminate this estimating process!</w:t>
      </w:r>
    </w:p>
    <w:p w:rsidR="0095314B" w:rsidRDefault="0095314B" w:rsidP="00DA29E6">
      <w:pPr>
        <w:rPr>
          <w:rFonts w:ascii="Verdana" w:hAnsi="Verdana" w:cs="Arial"/>
          <w:sz w:val="24"/>
          <w:szCs w:val="24"/>
        </w:rPr>
      </w:pPr>
    </w:p>
    <w:p w:rsidR="0095314B" w:rsidRDefault="0055686E" w:rsidP="00DA29E6">
      <w:pPr>
        <w:rPr>
          <w:rFonts w:ascii="Verdana" w:hAnsi="Verdana" w:cs="Arial"/>
          <w:sz w:val="24"/>
          <w:szCs w:val="24"/>
        </w:rPr>
      </w:pPr>
      <w:r>
        <w:rPr>
          <w:rFonts w:ascii="Verdana" w:hAnsi="Verdana" w:cs="Arial"/>
          <w:sz w:val="24"/>
          <w:szCs w:val="24"/>
        </w:rPr>
        <w:t>Ah, but w</w:t>
      </w:r>
      <w:r w:rsidR="0095314B">
        <w:rPr>
          <w:rFonts w:ascii="Verdana" w:hAnsi="Verdana" w:cs="Arial"/>
          <w:sz w:val="24"/>
          <w:szCs w:val="24"/>
        </w:rPr>
        <w:t xml:space="preserve">e can—by requiring business enterprises to capitalize all lease obligations instead of inventing fictions like capital and operating leases.  </w:t>
      </w:r>
      <w:r w:rsidR="0095314B">
        <w:rPr>
          <w:rFonts w:ascii="Verdana" w:hAnsi="Verdana" w:cs="Arial"/>
          <w:sz w:val="24"/>
          <w:szCs w:val="24"/>
        </w:rPr>
        <w:lastRenderedPageBreak/>
        <w:t>What our colleagues should have done after criticizing our crude first estimates is to have lambasted the FASB for its carelessness, its cowardice, its fearfulness, and its inability to get much done any more.  We need better lessee accounting.</w:t>
      </w:r>
      <w:r>
        <w:rPr>
          <w:rFonts w:ascii="Verdana" w:hAnsi="Verdana" w:cs="Arial"/>
          <w:sz w:val="24"/>
          <w:szCs w:val="24"/>
        </w:rPr>
        <w:t xml:space="preserve">  If lessees capitalized all leases, as they should, there would be no need for people like us to estimate these things.</w:t>
      </w:r>
    </w:p>
    <w:p w:rsidR="00194108" w:rsidRDefault="00194108" w:rsidP="00DA29E6">
      <w:pPr>
        <w:rPr>
          <w:rFonts w:ascii="Verdana" w:hAnsi="Verdana" w:cs="Arial"/>
          <w:sz w:val="24"/>
          <w:szCs w:val="24"/>
        </w:rPr>
      </w:pPr>
    </w:p>
    <w:p w:rsidR="000F2DC8" w:rsidRDefault="000F2DC8"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A627B"/>
    <w:rsid w:val="00001375"/>
    <w:rsid w:val="00002964"/>
    <w:rsid w:val="0001223C"/>
    <w:rsid w:val="00013A1E"/>
    <w:rsid w:val="00014F46"/>
    <w:rsid w:val="00020D92"/>
    <w:rsid w:val="0002188E"/>
    <w:rsid w:val="00032D82"/>
    <w:rsid w:val="000334D4"/>
    <w:rsid w:val="000374C2"/>
    <w:rsid w:val="0004214B"/>
    <w:rsid w:val="00051DC2"/>
    <w:rsid w:val="00052C5C"/>
    <w:rsid w:val="00066FDC"/>
    <w:rsid w:val="00070A9F"/>
    <w:rsid w:val="00081916"/>
    <w:rsid w:val="0008518C"/>
    <w:rsid w:val="00093316"/>
    <w:rsid w:val="000A3CC5"/>
    <w:rsid w:val="000A52AA"/>
    <w:rsid w:val="000A68B5"/>
    <w:rsid w:val="000B0974"/>
    <w:rsid w:val="000C0DAE"/>
    <w:rsid w:val="000C271E"/>
    <w:rsid w:val="000C55EE"/>
    <w:rsid w:val="000C6302"/>
    <w:rsid w:val="000D246D"/>
    <w:rsid w:val="000E18E5"/>
    <w:rsid w:val="000E2E4F"/>
    <w:rsid w:val="000F2DC8"/>
    <w:rsid w:val="000F42DF"/>
    <w:rsid w:val="000F72E4"/>
    <w:rsid w:val="00124D4C"/>
    <w:rsid w:val="00132212"/>
    <w:rsid w:val="00147CCE"/>
    <w:rsid w:val="00162F11"/>
    <w:rsid w:val="00165215"/>
    <w:rsid w:val="00166500"/>
    <w:rsid w:val="0016737C"/>
    <w:rsid w:val="001823C4"/>
    <w:rsid w:val="00190FBB"/>
    <w:rsid w:val="00194108"/>
    <w:rsid w:val="00196DE5"/>
    <w:rsid w:val="001978FB"/>
    <w:rsid w:val="001A1791"/>
    <w:rsid w:val="001A35D6"/>
    <w:rsid w:val="001A4C91"/>
    <w:rsid w:val="001A523B"/>
    <w:rsid w:val="001A5685"/>
    <w:rsid w:val="001A63DD"/>
    <w:rsid w:val="001A72F0"/>
    <w:rsid w:val="001B2AE8"/>
    <w:rsid w:val="001B3448"/>
    <w:rsid w:val="001B54FF"/>
    <w:rsid w:val="001C3948"/>
    <w:rsid w:val="001C5C9F"/>
    <w:rsid w:val="001C7FFA"/>
    <w:rsid w:val="001D7AC4"/>
    <w:rsid w:val="001F1E90"/>
    <w:rsid w:val="0020134E"/>
    <w:rsid w:val="0020293D"/>
    <w:rsid w:val="00210C7A"/>
    <w:rsid w:val="00212CAD"/>
    <w:rsid w:val="002134E1"/>
    <w:rsid w:val="00215FD8"/>
    <w:rsid w:val="00217C3B"/>
    <w:rsid w:val="002254DA"/>
    <w:rsid w:val="002348DA"/>
    <w:rsid w:val="00264576"/>
    <w:rsid w:val="00265925"/>
    <w:rsid w:val="00285D9E"/>
    <w:rsid w:val="002921E3"/>
    <w:rsid w:val="002954BA"/>
    <w:rsid w:val="00297DE7"/>
    <w:rsid w:val="002A35CE"/>
    <w:rsid w:val="002B0A9D"/>
    <w:rsid w:val="002B29A5"/>
    <w:rsid w:val="002C3E0F"/>
    <w:rsid w:val="002C4F22"/>
    <w:rsid w:val="002E0BC6"/>
    <w:rsid w:val="002F1C18"/>
    <w:rsid w:val="002F262A"/>
    <w:rsid w:val="002F7341"/>
    <w:rsid w:val="003022BC"/>
    <w:rsid w:val="00304385"/>
    <w:rsid w:val="00307529"/>
    <w:rsid w:val="0031191B"/>
    <w:rsid w:val="00315910"/>
    <w:rsid w:val="00316C9F"/>
    <w:rsid w:val="003259CE"/>
    <w:rsid w:val="00327520"/>
    <w:rsid w:val="0032760C"/>
    <w:rsid w:val="00354144"/>
    <w:rsid w:val="0036142D"/>
    <w:rsid w:val="003614EA"/>
    <w:rsid w:val="003617B7"/>
    <w:rsid w:val="00361AB2"/>
    <w:rsid w:val="00362844"/>
    <w:rsid w:val="00362D5A"/>
    <w:rsid w:val="00383ECD"/>
    <w:rsid w:val="00387AD3"/>
    <w:rsid w:val="0039366C"/>
    <w:rsid w:val="00394F33"/>
    <w:rsid w:val="003A627B"/>
    <w:rsid w:val="003B5481"/>
    <w:rsid w:val="003C2F39"/>
    <w:rsid w:val="003C370E"/>
    <w:rsid w:val="003D4590"/>
    <w:rsid w:val="003D7633"/>
    <w:rsid w:val="003E2195"/>
    <w:rsid w:val="003F2470"/>
    <w:rsid w:val="003F2F38"/>
    <w:rsid w:val="003F6FEC"/>
    <w:rsid w:val="00404567"/>
    <w:rsid w:val="00405C68"/>
    <w:rsid w:val="00407FE7"/>
    <w:rsid w:val="00414A4F"/>
    <w:rsid w:val="00423830"/>
    <w:rsid w:val="004238E6"/>
    <w:rsid w:val="00430CC2"/>
    <w:rsid w:val="00433764"/>
    <w:rsid w:val="00434BB2"/>
    <w:rsid w:val="00441449"/>
    <w:rsid w:val="00443813"/>
    <w:rsid w:val="00452131"/>
    <w:rsid w:val="004534FA"/>
    <w:rsid w:val="00454258"/>
    <w:rsid w:val="004562E4"/>
    <w:rsid w:val="00460BD2"/>
    <w:rsid w:val="00465E6E"/>
    <w:rsid w:val="00466069"/>
    <w:rsid w:val="00471A13"/>
    <w:rsid w:val="00490DAC"/>
    <w:rsid w:val="00491723"/>
    <w:rsid w:val="00495332"/>
    <w:rsid w:val="004A32D0"/>
    <w:rsid w:val="004A745F"/>
    <w:rsid w:val="004B03F1"/>
    <w:rsid w:val="004B57C9"/>
    <w:rsid w:val="004B6B8E"/>
    <w:rsid w:val="004C1DF0"/>
    <w:rsid w:val="004C2459"/>
    <w:rsid w:val="004D04CE"/>
    <w:rsid w:val="004D3E1B"/>
    <w:rsid w:val="004D42A8"/>
    <w:rsid w:val="004D6BFC"/>
    <w:rsid w:val="004E7B9C"/>
    <w:rsid w:val="004F1C35"/>
    <w:rsid w:val="004F264C"/>
    <w:rsid w:val="004F5EB2"/>
    <w:rsid w:val="00500864"/>
    <w:rsid w:val="005057B7"/>
    <w:rsid w:val="0050716A"/>
    <w:rsid w:val="005174B2"/>
    <w:rsid w:val="00520260"/>
    <w:rsid w:val="00520832"/>
    <w:rsid w:val="00533664"/>
    <w:rsid w:val="00534915"/>
    <w:rsid w:val="005373CC"/>
    <w:rsid w:val="005427BB"/>
    <w:rsid w:val="00546C8A"/>
    <w:rsid w:val="00547265"/>
    <w:rsid w:val="0055686E"/>
    <w:rsid w:val="00566ACC"/>
    <w:rsid w:val="005679C2"/>
    <w:rsid w:val="00572989"/>
    <w:rsid w:val="0057420F"/>
    <w:rsid w:val="0058071A"/>
    <w:rsid w:val="00586FFE"/>
    <w:rsid w:val="005877D3"/>
    <w:rsid w:val="00590920"/>
    <w:rsid w:val="00591E9C"/>
    <w:rsid w:val="005B137C"/>
    <w:rsid w:val="005B3AFB"/>
    <w:rsid w:val="005B6B3D"/>
    <w:rsid w:val="005B7BA1"/>
    <w:rsid w:val="005C5AA8"/>
    <w:rsid w:val="005C719F"/>
    <w:rsid w:val="005C7FC3"/>
    <w:rsid w:val="005D3219"/>
    <w:rsid w:val="005D4F06"/>
    <w:rsid w:val="005D548A"/>
    <w:rsid w:val="005E1C80"/>
    <w:rsid w:val="005E40D4"/>
    <w:rsid w:val="005F2D0B"/>
    <w:rsid w:val="006062C5"/>
    <w:rsid w:val="00626CA8"/>
    <w:rsid w:val="00630BC8"/>
    <w:rsid w:val="00633A33"/>
    <w:rsid w:val="00636320"/>
    <w:rsid w:val="006369C4"/>
    <w:rsid w:val="00643303"/>
    <w:rsid w:val="006442AE"/>
    <w:rsid w:val="006443D4"/>
    <w:rsid w:val="00654AEE"/>
    <w:rsid w:val="00656161"/>
    <w:rsid w:val="00667F72"/>
    <w:rsid w:val="00671DE9"/>
    <w:rsid w:val="006772D0"/>
    <w:rsid w:val="00680C26"/>
    <w:rsid w:val="00681673"/>
    <w:rsid w:val="00695771"/>
    <w:rsid w:val="00697578"/>
    <w:rsid w:val="006A2E31"/>
    <w:rsid w:val="006A7CF1"/>
    <w:rsid w:val="006B5167"/>
    <w:rsid w:val="006B7A87"/>
    <w:rsid w:val="006C2776"/>
    <w:rsid w:val="006D40B4"/>
    <w:rsid w:val="006F298B"/>
    <w:rsid w:val="00701811"/>
    <w:rsid w:val="007069CC"/>
    <w:rsid w:val="00716893"/>
    <w:rsid w:val="0072083E"/>
    <w:rsid w:val="00721ED9"/>
    <w:rsid w:val="007240D6"/>
    <w:rsid w:val="007310E9"/>
    <w:rsid w:val="00732233"/>
    <w:rsid w:val="00741CC4"/>
    <w:rsid w:val="00753045"/>
    <w:rsid w:val="0075714F"/>
    <w:rsid w:val="00762F72"/>
    <w:rsid w:val="007635B3"/>
    <w:rsid w:val="00763D47"/>
    <w:rsid w:val="007935E9"/>
    <w:rsid w:val="00795EDC"/>
    <w:rsid w:val="007A54C7"/>
    <w:rsid w:val="007A74AF"/>
    <w:rsid w:val="007B510D"/>
    <w:rsid w:val="007C2521"/>
    <w:rsid w:val="007D30EB"/>
    <w:rsid w:val="007D7854"/>
    <w:rsid w:val="007E274D"/>
    <w:rsid w:val="007E34E6"/>
    <w:rsid w:val="007E4E7D"/>
    <w:rsid w:val="007E7891"/>
    <w:rsid w:val="007F736D"/>
    <w:rsid w:val="00811C4B"/>
    <w:rsid w:val="0082077B"/>
    <w:rsid w:val="00823AFE"/>
    <w:rsid w:val="00825D4D"/>
    <w:rsid w:val="00826541"/>
    <w:rsid w:val="008265E1"/>
    <w:rsid w:val="00830910"/>
    <w:rsid w:val="00830A0B"/>
    <w:rsid w:val="00834103"/>
    <w:rsid w:val="008363B9"/>
    <w:rsid w:val="00847F54"/>
    <w:rsid w:val="00861134"/>
    <w:rsid w:val="00872289"/>
    <w:rsid w:val="00874083"/>
    <w:rsid w:val="008757FF"/>
    <w:rsid w:val="00876D95"/>
    <w:rsid w:val="0088295A"/>
    <w:rsid w:val="00885921"/>
    <w:rsid w:val="00890771"/>
    <w:rsid w:val="0089187B"/>
    <w:rsid w:val="0089454F"/>
    <w:rsid w:val="00894C28"/>
    <w:rsid w:val="008B5E1A"/>
    <w:rsid w:val="008C691D"/>
    <w:rsid w:val="008D2071"/>
    <w:rsid w:val="008D5DE7"/>
    <w:rsid w:val="008E0442"/>
    <w:rsid w:val="008E6D9D"/>
    <w:rsid w:val="008F04C5"/>
    <w:rsid w:val="009039AE"/>
    <w:rsid w:val="00907BCA"/>
    <w:rsid w:val="009119CB"/>
    <w:rsid w:val="00914576"/>
    <w:rsid w:val="009279E8"/>
    <w:rsid w:val="00930C78"/>
    <w:rsid w:val="00944985"/>
    <w:rsid w:val="00952126"/>
    <w:rsid w:val="0095314B"/>
    <w:rsid w:val="009552D6"/>
    <w:rsid w:val="00974768"/>
    <w:rsid w:val="00975403"/>
    <w:rsid w:val="009A0991"/>
    <w:rsid w:val="009A0F6E"/>
    <w:rsid w:val="009A26FD"/>
    <w:rsid w:val="009A2816"/>
    <w:rsid w:val="009A40B3"/>
    <w:rsid w:val="009A6D9B"/>
    <w:rsid w:val="009A708E"/>
    <w:rsid w:val="009B1A90"/>
    <w:rsid w:val="009C0B50"/>
    <w:rsid w:val="009D13AA"/>
    <w:rsid w:val="009D3CF4"/>
    <w:rsid w:val="009D772A"/>
    <w:rsid w:val="009E3B72"/>
    <w:rsid w:val="009F0A97"/>
    <w:rsid w:val="00A02E34"/>
    <w:rsid w:val="00A03ADF"/>
    <w:rsid w:val="00A06B5A"/>
    <w:rsid w:val="00A07F4F"/>
    <w:rsid w:val="00A11437"/>
    <w:rsid w:val="00A1143D"/>
    <w:rsid w:val="00A14E6E"/>
    <w:rsid w:val="00A20F6C"/>
    <w:rsid w:val="00A2604A"/>
    <w:rsid w:val="00A3462B"/>
    <w:rsid w:val="00A35333"/>
    <w:rsid w:val="00A43460"/>
    <w:rsid w:val="00A44661"/>
    <w:rsid w:val="00A501CA"/>
    <w:rsid w:val="00A56122"/>
    <w:rsid w:val="00A623DC"/>
    <w:rsid w:val="00A64206"/>
    <w:rsid w:val="00A759EC"/>
    <w:rsid w:val="00A94692"/>
    <w:rsid w:val="00A94ED1"/>
    <w:rsid w:val="00AB5DEF"/>
    <w:rsid w:val="00AC0275"/>
    <w:rsid w:val="00AC081E"/>
    <w:rsid w:val="00AC7090"/>
    <w:rsid w:val="00AD6616"/>
    <w:rsid w:val="00AE3622"/>
    <w:rsid w:val="00AE44C0"/>
    <w:rsid w:val="00B00CDE"/>
    <w:rsid w:val="00B077CC"/>
    <w:rsid w:val="00B1128F"/>
    <w:rsid w:val="00B11CE6"/>
    <w:rsid w:val="00B12949"/>
    <w:rsid w:val="00B150F4"/>
    <w:rsid w:val="00B20912"/>
    <w:rsid w:val="00B20A52"/>
    <w:rsid w:val="00B22B1B"/>
    <w:rsid w:val="00B22DA1"/>
    <w:rsid w:val="00B5636F"/>
    <w:rsid w:val="00B67C86"/>
    <w:rsid w:val="00B7664B"/>
    <w:rsid w:val="00B7722F"/>
    <w:rsid w:val="00B77990"/>
    <w:rsid w:val="00B77E24"/>
    <w:rsid w:val="00B80F61"/>
    <w:rsid w:val="00B8681F"/>
    <w:rsid w:val="00B91B36"/>
    <w:rsid w:val="00B91C46"/>
    <w:rsid w:val="00B92AA2"/>
    <w:rsid w:val="00BA23CF"/>
    <w:rsid w:val="00BA7DA2"/>
    <w:rsid w:val="00BB2082"/>
    <w:rsid w:val="00BB6235"/>
    <w:rsid w:val="00BC1DB8"/>
    <w:rsid w:val="00BC33AB"/>
    <w:rsid w:val="00BD1C30"/>
    <w:rsid w:val="00BD4859"/>
    <w:rsid w:val="00BD5A48"/>
    <w:rsid w:val="00BE231B"/>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606"/>
    <w:rsid w:val="00C265D4"/>
    <w:rsid w:val="00C40DDB"/>
    <w:rsid w:val="00C40F66"/>
    <w:rsid w:val="00C51A2C"/>
    <w:rsid w:val="00C706C0"/>
    <w:rsid w:val="00C7386E"/>
    <w:rsid w:val="00C73BEA"/>
    <w:rsid w:val="00C758E9"/>
    <w:rsid w:val="00C77A79"/>
    <w:rsid w:val="00C83508"/>
    <w:rsid w:val="00C84E3D"/>
    <w:rsid w:val="00C86325"/>
    <w:rsid w:val="00CA4259"/>
    <w:rsid w:val="00CA5CD3"/>
    <w:rsid w:val="00CB2C19"/>
    <w:rsid w:val="00CB7FD0"/>
    <w:rsid w:val="00CC7B0A"/>
    <w:rsid w:val="00CD0850"/>
    <w:rsid w:val="00CD0E7F"/>
    <w:rsid w:val="00CD27FE"/>
    <w:rsid w:val="00CE1F6F"/>
    <w:rsid w:val="00CF567E"/>
    <w:rsid w:val="00CF5BF7"/>
    <w:rsid w:val="00D005BC"/>
    <w:rsid w:val="00D045C6"/>
    <w:rsid w:val="00D04C30"/>
    <w:rsid w:val="00D10237"/>
    <w:rsid w:val="00D15B07"/>
    <w:rsid w:val="00D42D55"/>
    <w:rsid w:val="00D506D7"/>
    <w:rsid w:val="00D546A3"/>
    <w:rsid w:val="00D54EF4"/>
    <w:rsid w:val="00D552C9"/>
    <w:rsid w:val="00D61215"/>
    <w:rsid w:val="00D65CE0"/>
    <w:rsid w:val="00D66F58"/>
    <w:rsid w:val="00D72331"/>
    <w:rsid w:val="00D92C5E"/>
    <w:rsid w:val="00D965CF"/>
    <w:rsid w:val="00D96CB6"/>
    <w:rsid w:val="00DA29E6"/>
    <w:rsid w:val="00DA3FB4"/>
    <w:rsid w:val="00DB009A"/>
    <w:rsid w:val="00DB5864"/>
    <w:rsid w:val="00DC6A24"/>
    <w:rsid w:val="00DD28D1"/>
    <w:rsid w:val="00DD2F13"/>
    <w:rsid w:val="00DE012A"/>
    <w:rsid w:val="00DE470E"/>
    <w:rsid w:val="00DE58F7"/>
    <w:rsid w:val="00DE7E5E"/>
    <w:rsid w:val="00DF0BCE"/>
    <w:rsid w:val="00E0278C"/>
    <w:rsid w:val="00E049EA"/>
    <w:rsid w:val="00E0530E"/>
    <w:rsid w:val="00E12A7D"/>
    <w:rsid w:val="00E13EA4"/>
    <w:rsid w:val="00E26ACF"/>
    <w:rsid w:val="00E318EE"/>
    <w:rsid w:val="00E31D4C"/>
    <w:rsid w:val="00E3488C"/>
    <w:rsid w:val="00E45FC7"/>
    <w:rsid w:val="00E53C93"/>
    <w:rsid w:val="00E605B4"/>
    <w:rsid w:val="00E656F7"/>
    <w:rsid w:val="00E6651F"/>
    <w:rsid w:val="00E70E2E"/>
    <w:rsid w:val="00E81155"/>
    <w:rsid w:val="00E83CB9"/>
    <w:rsid w:val="00E85258"/>
    <w:rsid w:val="00E85675"/>
    <w:rsid w:val="00E92244"/>
    <w:rsid w:val="00EA7056"/>
    <w:rsid w:val="00EA73DD"/>
    <w:rsid w:val="00EA7A35"/>
    <w:rsid w:val="00EB4D4A"/>
    <w:rsid w:val="00EB5B21"/>
    <w:rsid w:val="00EB66B8"/>
    <w:rsid w:val="00EB75E6"/>
    <w:rsid w:val="00EC2A37"/>
    <w:rsid w:val="00ED3830"/>
    <w:rsid w:val="00ED708A"/>
    <w:rsid w:val="00EE3621"/>
    <w:rsid w:val="00EE5591"/>
    <w:rsid w:val="00EE62E4"/>
    <w:rsid w:val="00EE6A29"/>
    <w:rsid w:val="00EF31A2"/>
    <w:rsid w:val="00EF3CB2"/>
    <w:rsid w:val="00EF44EA"/>
    <w:rsid w:val="00F0140C"/>
    <w:rsid w:val="00F022B1"/>
    <w:rsid w:val="00F17B65"/>
    <w:rsid w:val="00F24A2D"/>
    <w:rsid w:val="00F37BB7"/>
    <w:rsid w:val="00F454E5"/>
    <w:rsid w:val="00F57109"/>
    <w:rsid w:val="00F61B68"/>
    <w:rsid w:val="00F656C9"/>
    <w:rsid w:val="00F66731"/>
    <w:rsid w:val="00F705B6"/>
    <w:rsid w:val="00F7237C"/>
    <w:rsid w:val="00F7596C"/>
    <w:rsid w:val="00F8568F"/>
    <w:rsid w:val="00F931FF"/>
    <w:rsid w:val="00F93625"/>
    <w:rsid w:val="00F94C21"/>
    <w:rsid w:val="00F95297"/>
    <w:rsid w:val="00F9721D"/>
    <w:rsid w:val="00FA0BEB"/>
    <w:rsid w:val="00FA2996"/>
    <w:rsid w:val="00FA305E"/>
    <w:rsid w:val="00FB352F"/>
    <w:rsid w:val="00FB7B89"/>
    <w:rsid w:val="00FB7F87"/>
    <w:rsid w:val="00FC4057"/>
    <w:rsid w:val="00FC520E"/>
    <w:rsid w:val="00FC5D0E"/>
    <w:rsid w:val="00FD0D5E"/>
    <w:rsid w:val="00FD5C99"/>
    <w:rsid w:val="00FE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060010406">
      <w:bodyDiv w:val="1"/>
      <w:marLeft w:val="0"/>
      <w:marRight w:val="0"/>
      <w:marTop w:val="0"/>
      <w:marBottom w:val="0"/>
      <w:divBdr>
        <w:top w:val="none" w:sz="0" w:space="0" w:color="auto"/>
        <w:left w:val="none" w:sz="0" w:space="0" w:color="auto"/>
        <w:bottom w:val="none" w:sz="0" w:space="0" w:color="auto"/>
        <w:right w:val="none" w:sz="0" w:space="0" w:color="auto"/>
      </w:divBdr>
    </w:div>
    <w:div w:id="1242913054">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smeal.psu.edu/grumpyoldaccountants/archives/6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13</cp:revision>
  <cp:lastPrinted>2012-05-02T20:50:00Z</cp:lastPrinted>
  <dcterms:created xsi:type="dcterms:W3CDTF">2012-05-02T20:51:00Z</dcterms:created>
  <dcterms:modified xsi:type="dcterms:W3CDTF">2012-05-03T14:24:00Z</dcterms:modified>
</cp:coreProperties>
</file>