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407DB2" w:rsidP="00E81155">
      <w:pPr>
        <w:rPr>
          <w:rFonts w:ascii="Arial" w:hAnsi="Arial" w:cs="Arial"/>
          <w:b/>
          <w:sz w:val="28"/>
          <w:szCs w:val="28"/>
        </w:rPr>
      </w:pPr>
      <w:r>
        <w:rPr>
          <w:rFonts w:ascii="Arial" w:hAnsi="Arial" w:cs="Arial"/>
          <w:b/>
          <w:sz w:val="28"/>
          <w:szCs w:val="28"/>
        </w:rPr>
        <w:t xml:space="preserve">GROUPON’S </w:t>
      </w:r>
      <w:r w:rsidR="003A5F03">
        <w:rPr>
          <w:rFonts w:ascii="Arial" w:hAnsi="Arial" w:cs="Arial"/>
          <w:b/>
          <w:sz w:val="28"/>
          <w:szCs w:val="28"/>
        </w:rPr>
        <w:t>FIRST 10-K</w:t>
      </w:r>
      <w:r w:rsidR="00927054">
        <w:rPr>
          <w:rFonts w:ascii="Arial" w:hAnsi="Arial" w:cs="Arial"/>
          <w:b/>
          <w:sz w:val="28"/>
          <w:szCs w:val="28"/>
        </w:rPr>
        <w:t>: LOOKING UNDER THE HOOD</w:t>
      </w:r>
    </w:p>
    <w:p w:rsidR="00407DB2" w:rsidRDefault="00407DB2" w:rsidP="00E81155">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B03DF">
        <w:rPr>
          <w:rFonts w:ascii="Arial" w:hAnsi="Arial" w:cs="Arial"/>
          <w:b/>
          <w:i/>
          <w:sz w:val="24"/>
          <w:szCs w:val="24"/>
        </w:rPr>
        <w:t>April</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E81155" w:rsidRDefault="00E81155" w:rsidP="00E81155">
      <w:pPr>
        <w:rPr>
          <w:rFonts w:ascii="Verdana" w:hAnsi="Verdana" w:cs="Arial"/>
          <w:sz w:val="24"/>
          <w:szCs w:val="24"/>
        </w:rPr>
      </w:pPr>
    </w:p>
    <w:p w:rsidR="003A5F03" w:rsidRDefault="00694BA4" w:rsidP="00E81155">
      <w:pPr>
        <w:rPr>
          <w:rFonts w:ascii="Verdana" w:hAnsi="Verdana" w:cs="Arial"/>
          <w:sz w:val="24"/>
          <w:szCs w:val="24"/>
        </w:rPr>
      </w:pPr>
      <w:r>
        <w:rPr>
          <w:rFonts w:ascii="Verdana" w:hAnsi="Verdana" w:cs="Arial"/>
          <w:sz w:val="24"/>
          <w:szCs w:val="24"/>
        </w:rPr>
        <w:t>N</w:t>
      </w:r>
      <w:r w:rsidR="0053056A">
        <w:rPr>
          <w:rFonts w:ascii="Verdana" w:hAnsi="Verdana" w:cs="Arial"/>
          <w:sz w:val="24"/>
          <w:szCs w:val="24"/>
        </w:rPr>
        <w:t xml:space="preserve">ow that we’ve recovered from the </w:t>
      </w:r>
      <w:hyperlink r:id="rId5" w:history="1">
        <w:r w:rsidR="0053056A" w:rsidRPr="00147195">
          <w:rPr>
            <w:rStyle w:val="Hyperlink"/>
            <w:rFonts w:ascii="Verdana" w:hAnsi="Verdana" w:cs="Arial"/>
            <w:sz w:val="24"/>
            <w:szCs w:val="24"/>
          </w:rPr>
          <w:t>April Fool’s Day surprises</w:t>
        </w:r>
      </w:hyperlink>
      <w:r w:rsidR="0053056A">
        <w:rPr>
          <w:rFonts w:ascii="Verdana" w:hAnsi="Verdana" w:cs="Arial"/>
          <w:sz w:val="24"/>
          <w:szCs w:val="24"/>
        </w:rPr>
        <w:t xml:space="preserve"> offered up by Groupon in the form of accounting revisions and material weaknesses, we just had to dig </w:t>
      </w:r>
      <w:r w:rsidR="001123AF">
        <w:rPr>
          <w:rFonts w:ascii="Verdana" w:hAnsi="Verdana" w:cs="Arial"/>
          <w:sz w:val="24"/>
          <w:szCs w:val="24"/>
        </w:rPr>
        <w:t xml:space="preserve">a bit </w:t>
      </w:r>
      <w:r w:rsidR="0053056A">
        <w:rPr>
          <w:rFonts w:ascii="Verdana" w:hAnsi="Verdana" w:cs="Arial"/>
          <w:sz w:val="24"/>
          <w:szCs w:val="24"/>
        </w:rPr>
        <w:t>further into the Company’s numbers, and we were not disappointed!  Management continues to amaze us with their aggressive and non-transparent financial reporting, as does E&amp;Y with their continued “lapdog” auditor role.</w:t>
      </w:r>
    </w:p>
    <w:p w:rsidR="0053056A" w:rsidRDefault="0053056A" w:rsidP="00E81155">
      <w:pPr>
        <w:rPr>
          <w:rFonts w:ascii="Verdana" w:hAnsi="Verdana" w:cs="Arial"/>
          <w:sz w:val="24"/>
          <w:szCs w:val="24"/>
        </w:rPr>
      </w:pPr>
    </w:p>
    <w:p w:rsidR="00927054" w:rsidRDefault="00927054" w:rsidP="00E81155">
      <w:pPr>
        <w:rPr>
          <w:rFonts w:ascii="Verdana" w:hAnsi="Verdana" w:cs="Arial"/>
          <w:sz w:val="24"/>
          <w:szCs w:val="24"/>
        </w:rPr>
      </w:pPr>
      <w:r>
        <w:rPr>
          <w:rFonts w:ascii="Verdana" w:hAnsi="Verdana" w:cs="Arial"/>
          <w:sz w:val="24"/>
          <w:szCs w:val="24"/>
        </w:rPr>
        <w:t>Last time we looked at the structural issues and found a rusting body.  Today we look under the hood and find the engine leaking oil and the spark plugs missing.</w:t>
      </w:r>
      <w:r w:rsidR="00694BA4">
        <w:rPr>
          <w:rFonts w:ascii="Verdana" w:hAnsi="Verdana" w:cs="Arial"/>
          <w:sz w:val="24"/>
          <w:szCs w:val="24"/>
        </w:rPr>
        <w:t xml:space="preserve">  We aren’t interested in purchasing this </w:t>
      </w:r>
      <w:r w:rsidR="007E434F">
        <w:rPr>
          <w:rFonts w:ascii="Verdana" w:hAnsi="Verdana" w:cs="Arial"/>
          <w:sz w:val="24"/>
          <w:szCs w:val="24"/>
        </w:rPr>
        <w:t>used car</w:t>
      </w:r>
      <w:r w:rsidR="00694BA4">
        <w:rPr>
          <w:rFonts w:ascii="Verdana" w:hAnsi="Verdana" w:cs="Arial"/>
          <w:sz w:val="24"/>
          <w:szCs w:val="24"/>
        </w:rPr>
        <w:t>!</w:t>
      </w:r>
    </w:p>
    <w:p w:rsidR="00927054" w:rsidRDefault="00927054" w:rsidP="00E81155">
      <w:pPr>
        <w:rPr>
          <w:rFonts w:ascii="Verdana" w:hAnsi="Verdana" w:cs="Arial"/>
          <w:sz w:val="24"/>
          <w:szCs w:val="24"/>
        </w:rPr>
      </w:pPr>
    </w:p>
    <w:p w:rsidR="0053056A" w:rsidRDefault="001123AF" w:rsidP="00E81155">
      <w:pPr>
        <w:rPr>
          <w:rFonts w:ascii="Verdana" w:hAnsi="Verdana" w:cs="Arial"/>
          <w:sz w:val="24"/>
          <w:szCs w:val="24"/>
        </w:rPr>
      </w:pPr>
      <w:r>
        <w:rPr>
          <w:rFonts w:ascii="Verdana" w:hAnsi="Verdana" w:cs="Arial"/>
          <w:sz w:val="24"/>
          <w:szCs w:val="24"/>
        </w:rPr>
        <w:t xml:space="preserve">Let’s begin with the limited good news.  Given the Company’s recent recapitalization ($744 million net), it is not surprising that Groupon no longer reports a high bankruptcy probability according to either the </w:t>
      </w:r>
      <w:hyperlink r:id="rId6" w:history="1">
        <w:r w:rsidRPr="00694BA4">
          <w:rPr>
            <w:rStyle w:val="Hyperlink"/>
            <w:rFonts w:ascii="Verdana" w:hAnsi="Verdana" w:cs="Arial"/>
            <w:sz w:val="24"/>
            <w:szCs w:val="24"/>
          </w:rPr>
          <w:t xml:space="preserve">traditional Altman Z model or the </w:t>
        </w:r>
        <w:r w:rsidR="00C950FE" w:rsidRPr="00694BA4">
          <w:rPr>
            <w:rStyle w:val="Hyperlink"/>
            <w:rFonts w:ascii="Verdana" w:hAnsi="Verdana" w:cs="Arial"/>
            <w:sz w:val="24"/>
            <w:szCs w:val="24"/>
          </w:rPr>
          <w:t xml:space="preserve">modified </w:t>
        </w:r>
        <w:r w:rsidRPr="00694BA4">
          <w:rPr>
            <w:rStyle w:val="Hyperlink"/>
            <w:rFonts w:ascii="Verdana" w:hAnsi="Verdana" w:cs="Arial"/>
            <w:sz w:val="24"/>
            <w:szCs w:val="24"/>
          </w:rPr>
          <w:t xml:space="preserve">Altman Z </w:t>
        </w:r>
        <w:r w:rsidR="00C950FE" w:rsidRPr="00694BA4">
          <w:rPr>
            <w:rStyle w:val="Hyperlink"/>
            <w:rFonts w:ascii="Verdana" w:hAnsi="Verdana" w:cs="Arial"/>
            <w:sz w:val="24"/>
            <w:szCs w:val="24"/>
          </w:rPr>
          <w:t>model</w:t>
        </w:r>
      </w:hyperlink>
      <w:r w:rsidR="00C950FE">
        <w:rPr>
          <w:rFonts w:ascii="Verdana" w:hAnsi="Verdana" w:cs="Arial"/>
          <w:sz w:val="24"/>
          <w:szCs w:val="24"/>
        </w:rPr>
        <w:t xml:space="preserve"> </w:t>
      </w:r>
      <w:r>
        <w:rPr>
          <w:rFonts w:ascii="Verdana" w:hAnsi="Verdana" w:cs="Arial"/>
          <w:sz w:val="24"/>
          <w:szCs w:val="24"/>
        </w:rPr>
        <w:t xml:space="preserve">for manufacturing and </w:t>
      </w:r>
      <w:r w:rsidR="00694BA4">
        <w:rPr>
          <w:rFonts w:ascii="Verdana" w:hAnsi="Verdana" w:cs="Arial"/>
          <w:sz w:val="24"/>
          <w:szCs w:val="24"/>
        </w:rPr>
        <w:t xml:space="preserve">nonmanufacturing </w:t>
      </w:r>
      <w:r>
        <w:rPr>
          <w:rFonts w:ascii="Verdana" w:hAnsi="Verdana" w:cs="Arial"/>
          <w:sz w:val="24"/>
          <w:szCs w:val="24"/>
        </w:rPr>
        <w:t>companies</w:t>
      </w:r>
      <w:r w:rsidR="00945340">
        <w:rPr>
          <w:rFonts w:ascii="Verdana" w:hAnsi="Verdana" w:cs="Arial"/>
          <w:sz w:val="24"/>
          <w:szCs w:val="24"/>
        </w:rPr>
        <w:t>, respectively</w:t>
      </w:r>
      <w:r>
        <w:rPr>
          <w:rFonts w:ascii="Verdana" w:hAnsi="Verdana" w:cs="Arial"/>
          <w:sz w:val="24"/>
          <w:szCs w:val="24"/>
        </w:rPr>
        <w:t xml:space="preserve">.  In fact, both models reported a decline in bankruptcy probability from 100 percent in 2010 </w:t>
      </w:r>
      <w:r w:rsidR="00C950FE">
        <w:rPr>
          <w:rFonts w:ascii="Verdana" w:hAnsi="Verdana" w:cs="Arial"/>
          <w:sz w:val="24"/>
          <w:szCs w:val="24"/>
        </w:rPr>
        <w:t>to virtually zero in 2011</w:t>
      </w:r>
      <w:r>
        <w:rPr>
          <w:rFonts w:ascii="Verdana" w:hAnsi="Verdana" w:cs="Arial"/>
          <w:sz w:val="24"/>
          <w:szCs w:val="24"/>
        </w:rPr>
        <w:t xml:space="preserve">. </w:t>
      </w:r>
    </w:p>
    <w:p w:rsidR="00C950FE" w:rsidRDefault="00C950FE" w:rsidP="00E81155">
      <w:pPr>
        <w:rPr>
          <w:rFonts w:ascii="Verdana" w:hAnsi="Verdana" w:cs="Arial"/>
          <w:sz w:val="24"/>
          <w:szCs w:val="24"/>
        </w:rPr>
      </w:pPr>
    </w:p>
    <w:p w:rsidR="00C950FE" w:rsidRDefault="00C950FE" w:rsidP="00E81155">
      <w:pPr>
        <w:rPr>
          <w:rFonts w:ascii="Verdana" w:hAnsi="Verdana" w:cs="Arial"/>
          <w:sz w:val="24"/>
          <w:szCs w:val="24"/>
        </w:rPr>
      </w:pPr>
      <w:r>
        <w:rPr>
          <w:rFonts w:ascii="Verdana" w:hAnsi="Verdana" w:cs="Arial"/>
          <w:sz w:val="24"/>
          <w:szCs w:val="24"/>
        </w:rPr>
        <w:t xml:space="preserve">Similarly, the Beneish earnings manipulation model yields a decline in the likelihood of earnings manipulation from 100 percent in 2010 to 23.68 percent in 2011.  As with the Altman models, this </w:t>
      </w:r>
      <w:r w:rsidR="00147195">
        <w:rPr>
          <w:rFonts w:ascii="Verdana" w:hAnsi="Verdana" w:cs="Arial"/>
          <w:sz w:val="24"/>
          <w:szCs w:val="24"/>
        </w:rPr>
        <w:t>“</w:t>
      </w:r>
      <w:r>
        <w:rPr>
          <w:rFonts w:ascii="Verdana" w:hAnsi="Verdana" w:cs="Arial"/>
          <w:sz w:val="24"/>
          <w:szCs w:val="24"/>
        </w:rPr>
        <w:t>supposed</w:t>
      </w:r>
      <w:r w:rsidR="00147195">
        <w:rPr>
          <w:rFonts w:ascii="Verdana" w:hAnsi="Verdana" w:cs="Arial"/>
          <w:sz w:val="24"/>
          <w:szCs w:val="24"/>
        </w:rPr>
        <w:t>”</w:t>
      </w:r>
      <w:r>
        <w:rPr>
          <w:rFonts w:ascii="Verdana" w:hAnsi="Verdana" w:cs="Arial"/>
          <w:sz w:val="24"/>
          <w:szCs w:val="24"/>
        </w:rPr>
        <w:t xml:space="preserve"> improvement is driven by the asset growth </w:t>
      </w:r>
      <w:r w:rsidR="004B69EA">
        <w:rPr>
          <w:rFonts w:ascii="Verdana" w:hAnsi="Verdana" w:cs="Arial"/>
          <w:sz w:val="24"/>
          <w:szCs w:val="24"/>
        </w:rPr>
        <w:t xml:space="preserve">resulting from </w:t>
      </w:r>
      <w:r>
        <w:rPr>
          <w:rFonts w:ascii="Verdana" w:hAnsi="Verdana" w:cs="Arial"/>
          <w:sz w:val="24"/>
          <w:szCs w:val="24"/>
        </w:rPr>
        <w:t>the Company’s recent IPO.</w:t>
      </w:r>
      <w:r w:rsidR="00694BA4">
        <w:rPr>
          <w:rFonts w:ascii="Verdana" w:hAnsi="Verdana" w:cs="Arial"/>
          <w:sz w:val="24"/>
          <w:szCs w:val="24"/>
        </w:rPr>
        <w:t xml:space="preserve">  It still is too high for investors and creditors to feel good.</w:t>
      </w:r>
    </w:p>
    <w:p w:rsidR="001123AF" w:rsidRDefault="001123AF" w:rsidP="00E81155">
      <w:pPr>
        <w:rPr>
          <w:rFonts w:ascii="Verdana" w:hAnsi="Verdana" w:cs="Arial"/>
          <w:sz w:val="24"/>
          <w:szCs w:val="24"/>
        </w:rPr>
      </w:pPr>
    </w:p>
    <w:p w:rsidR="00C950FE" w:rsidRDefault="00C950FE" w:rsidP="00E81155">
      <w:pPr>
        <w:rPr>
          <w:rFonts w:ascii="Verdana" w:hAnsi="Verdana" w:cs="Arial"/>
          <w:sz w:val="24"/>
          <w:szCs w:val="24"/>
        </w:rPr>
      </w:pPr>
      <w:r>
        <w:rPr>
          <w:rFonts w:ascii="Verdana" w:hAnsi="Verdana" w:cs="Arial"/>
          <w:sz w:val="24"/>
          <w:szCs w:val="24"/>
        </w:rPr>
        <w:t xml:space="preserve">So what bad stuff did we find?  Oh, there are the usual suspects: goodwill valuations and operating cash flows.  But there are some new potential minefields: income tax accounting and accounting for equity method investments.  And then there are the new </w:t>
      </w:r>
      <w:r w:rsidR="00C207AB">
        <w:rPr>
          <w:rFonts w:ascii="Verdana" w:hAnsi="Verdana" w:cs="Arial"/>
          <w:sz w:val="24"/>
          <w:szCs w:val="24"/>
        </w:rPr>
        <w:t xml:space="preserve">asset and liability valuation </w:t>
      </w:r>
      <w:r>
        <w:rPr>
          <w:rFonts w:ascii="Verdana" w:hAnsi="Verdana" w:cs="Arial"/>
          <w:sz w:val="24"/>
          <w:szCs w:val="24"/>
        </w:rPr>
        <w:t xml:space="preserve">concerns prompted by </w:t>
      </w:r>
      <w:r w:rsidR="004B69EA">
        <w:rPr>
          <w:rFonts w:ascii="Verdana" w:hAnsi="Verdana" w:cs="Arial"/>
          <w:sz w:val="24"/>
          <w:szCs w:val="24"/>
        </w:rPr>
        <w:t>the recently reported material weaknesses in internal controls over financial reporting.  So let’s jump in.</w:t>
      </w:r>
    </w:p>
    <w:p w:rsidR="004B69EA" w:rsidRDefault="004B69EA" w:rsidP="00E81155">
      <w:pPr>
        <w:rPr>
          <w:rFonts w:ascii="Verdana" w:hAnsi="Verdana" w:cs="Arial"/>
          <w:sz w:val="24"/>
          <w:szCs w:val="24"/>
        </w:rPr>
      </w:pPr>
    </w:p>
    <w:p w:rsidR="00C90AFD" w:rsidRDefault="004B69EA" w:rsidP="00E81155">
      <w:pPr>
        <w:rPr>
          <w:rFonts w:ascii="Verdana" w:hAnsi="Verdana" w:cs="Arial"/>
          <w:sz w:val="24"/>
          <w:szCs w:val="24"/>
        </w:rPr>
      </w:pPr>
      <w:r>
        <w:rPr>
          <w:rFonts w:ascii="Verdana" w:hAnsi="Verdana" w:cs="Arial"/>
          <w:sz w:val="24"/>
          <w:szCs w:val="24"/>
        </w:rPr>
        <w:t xml:space="preserve">As you may recall, we first sounded the alarm over </w:t>
      </w:r>
      <w:r w:rsidR="00C207AB">
        <w:rPr>
          <w:rFonts w:ascii="Verdana" w:hAnsi="Verdana" w:cs="Arial"/>
          <w:sz w:val="24"/>
          <w:szCs w:val="24"/>
        </w:rPr>
        <w:t xml:space="preserve">the Company’s reported </w:t>
      </w:r>
      <w:r>
        <w:rPr>
          <w:rFonts w:ascii="Verdana" w:hAnsi="Verdana" w:cs="Arial"/>
          <w:sz w:val="24"/>
          <w:szCs w:val="24"/>
        </w:rPr>
        <w:t>goodwill in June of last year in “</w:t>
      </w:r>
      <w:hyperlink r:id="rId7" w:history="1">
        <w:r w:rsidRPr="00C207AB">
          <w:rPr>
            <w:rStyle w:val="Hyperlink"/>
            <w:rFonts w:ascii="Verdana" w:hAnsi="Verdana" w:cs="Arial"/>
            <w:sz w:val="24"/>
            <w:szCs w:val="24"/>
          </w:rPr>
          <w:t>Groupon: Comedy or Drama</w:t>
        </w:r>
      </w:hyperlink>
      <w:r>
        <w:rPr>
          <w:rFonts w:ascii="Verdana" w:hAnsi="Verdana" w:cs="Arial"/>
          <w:sz w:val="24"/>
          <w:szCs w:val="24"/>
        </w:rPr>
        <w:t xml:space="preserve">,” expressing concern over the large </w:t>
      </w:r>
      <w:r w:rsidR="00C207AB">
        <w:rPr>
          <w:rFonts w:ascii="Verdana" w:hAnsi="Verdana" w:cs="Arial"/>
          <w:sz w:val="24"/>
          <w:szCs w:val="24"/>
        </w:rPr>
        <w:t xml:space="preserve">intangible asset </w:t>
      </w:r>
      <w:r>
        <w:rPr>
          <w:rFonts w:ascii="Verdana" w:hAnsi="Verdana" w:cs="Arial"/>
          <w:sz w:val="24"/>
          <w:szCs w:val="24"/>
        </w:rPr>
        <w:t xml:space="preserve">amounts </w:t>
      </w:r>
      <w:r w:rsidR="00C207AB">
        <w:rPr>
          <w:rFonts w:ascii="Verdana" w:hAnsi="Verdana" w:cs="Arial"/>
          <w:sz w:val="24"/>
          <w:szCs w:val="24"/>
        </w:rPr>
        <w:t>being added to the</w:t>
      </w:r>
      <w:r>
        <w:rPr>
          <w:rFonts w:ascii="Verdana" w:hAnsi="Verdana" w:cs="Arial"/>
          <w:sz w:val="24"/>
          <w:szCs w:val="24"/>
        </w:rPr>
        <w:t xml:space="preserve"> balance sheet.  Well, it appears that our concerns were justified after all, and that an impairment charge is imminent (it should be noted we don’t use E&amp;Y’s im</w:t>
      </w:r>
      <w:r w:rsidR="00C207AB">
        <w:rPr>
          <w:rFonts w:ascii="Verdana" w:hAnsi="Verdana" w:cs="Arial"/>
          <w:sz w:val="24"/>
          <w:szCs w:val="24"/>
        </w:rPr>
        <w:t>pairment valuation model)</w:t>
      </w:r>
      <w:r w:rsidR="00C90AFD">
        <w:rPr>
          <w:rFonts w:ascii="Verdana" w:hAnsi="Verdana" w:cs="Arial"/>
          <w:sz w:val="24"/>
          <w:szCs w:val="24"/>
        </w:rPr>
        <w:t>; indeed, Groupon probably should report the goodwill impairment now.</w:t>
      </w:r>
    </w:p>
    <w:p w:rsidR="004B69EA" w:rsidRDefault="00C207AB" w:rsidP="00E81155">
      <w:pPr>
        <w:rPr>
          <w:rFonts w:ascii="Verdana" w:hAnsi="Verdana" w:cs="Arial"/>
          <w:sz w:val="24"/>
          <w:szCs w:val="24"/>
        </w:rPr>
      </w:pPr>
      <w:r>
        <w:rPr>
          <w:rFonts w:ascii="Verdana" w:hAnsi="Verdana" w:cs="Arial"/>
          <w:sz w:val="24"/>
          <w:szCs w:val="24"/>
        </w:rPr>
        <w:lastRenderedPageBreak/>
        <w:t>How do we know that a goodwill write-off is on the horizon?  Simple…the international operations to which Groupon has assigned over 75 percent of total goodwill ($126.2 of $166.9 million) is operating at a loss according to Note 14 of the Company’s financial statements.  To make matters worse, goodwill comprises over 18 percent of the international segment’s total assets ($126.2 of $698.4 million).  So which international assets are not performing?  Goodwill, of course!</w:t>
      </w:r>
    </w:p>
    <w:p w:rsidR="00ED0DD3" w:rsidRDefault="00ED0DD3" w:rsidP="00E81155">
      <w:pPr>
        <w:rPr>
          <w:rFonts w:ascii="Verdana" w:hAnsi="Verdana" w:cs="Arial"/>
          <w:sz w:val="24"/>
          <w:szCs w:val="24"/>
        </w:rPr>
      </w:pPr>
    </w:p>
    <w:p w:rsidR="00ED0DD3" w:rsidRDefault="00ED0DD3" w:rsidP="00ED0DD3">
      <w:pPr>
        <w:rPr>
          <w:rFonts w:ascii="Verdana" w:hAnsi="Verdana" w:cs="Arial"/>
          <w:sz w:val="24"/>
          <w:szCs w:val="24"/>
        </w:rPr>
      </w:pPr>
      <w:r>
        <w:rPr>
          <w:rFonts w:ascii="Verdana" w:hAnsi="Verdana" w:cs="Arial"/>
          <w:sz w:val="24"/>
          <w:szCs w:val="24"/>
        </w:rPr>
        <w:t xml:space="preserve">And in case you missed it, in 2011 Groupon made </w:t>
      </w:r>
      <w:r w:rsidR="00865B94">
        <w:rPr>
          <w:rFonts w:ascii="Verdana" w:hAnsi="Verdana" w:cs="Arial"/>
          <w:sz w:val="24"/>
          <w:szCs w:val="24"/>
        </w:rPr>
        <w:t xml:space="preserve">new </w:t>
      </w:r>
      <w:r>
        <w:rPr>
          <w:rFonts w:ascii="Verdana" w:hAnsi="Verdana" w:cs="Arial"/>
          <w:sz w:val="24"/>
          <w:szCs w:val="24"/>
        </w:rPr>
        <w:t xml:space="preserve">acquisitions in </w:t>
      </w:r>
      <w:r w:rsidRPr="00ED0DD3">
        <w:rPr>
          <w:rFonts w:ascii="Verdana" w:hAnsi="Verdana" w:cs="Arial"/>
          <w:sz w:val="24"/>
          <w:szCs w:val="24"/>
        </w:rPr>
        <w:t>India, Malaysia, South Africa,</w:t>
      </w:r>
      <w:r>
        <w:rPr>
          <w:rFonts w:ascii="Verdana" w:hAnsi="Verdana" w:cs="Arial"/>
          <w:sz w:val="24"/>
          <w:szCs w:val="24"/>
        </w:rPr>
        <w:t xml:space="preserve"> Indonesia and the Middle East, which added $36.5 million in goodwill to the struggling international segment.  </w:t>
      </w:r>
      <w:r w:rsidR="00694BA4">
        <w:rPr>
          <w:rFonts w:ascii="Verdana" w:hAnsi="Verdana" w:cs="Arial"/>
          <w:sz w:val="24"/>
          <w:szCs w:val="24"/>
        </w:rPr>
        <w:t>G</w:t>
      </w:r>
      <w:r>
        <w:rPr>
          <w:rFonts w:ascii="Verdana" w:hAnsi="Verdana" w:cs="Arial"/>
          <w:sz w:val="24"/>
          <w:szCs w:val="24"/>
        </w:rPr>
        <w:t>oodwill in these transactions represented over 76.5 percent of the acquisitions’</w:t>
      </w:r>
      <w:r w:rsidR="00865B94">
        <w:rPr>
          <w:rFonts w:ascii="Verdana" w:hAnsi="Verdana" w:cs="Arial"/>
          <w:sz w:val="24"/>
          <w:szCs w:val="24"/>
        </w:rPr>
        <w:t xml:space="preserve"> price according to N</w:t>
      </w:r>
      <w:r>
        <w:rPr>
          <w:rFonts w:ascii="Verdana" w:hAnsi="Verdana" w:cs="Arial"/>
          <w:sz w:val="24"/>
          <w:szCs w:val="24"/>
        </w:rPr>
        <w:t>ote 3 in the financial statements. Given that kind of premium, how do you think these investments will play out?</w:t>
      </w:r>
    </w:p>
    <w:p w:rsidR="00EC32A1" w:rsidRDefault="00EC32A1" w:rsidP="00E81155">
      <w:pPr>
        <w:rPr>
          <w:rFonts w:ascii="Verdana" w:hAnsi="Verdana" w:cs="Arial"/>
          <w:sz w:val="24"/>
          <w:szCs w:val="24"/>
        </w:rPr>
      </w:pPr>
    </w:p>
    <w:p w:rsidR="00EC32A1" w:rsidRDefault="00865B94" w:rsidP="00E81155">
      <w:pPr>
        <w:rPr>
          <w:rFonts w:ascii="Verdana" w:hAnsi="Verdana" w:cs="Arial"/>
          <w:sz w:val="24"/>
          <w:szCs w:val="24"/>
        </w:rPr>
      </w:pPr>
      <w:r>
        <w:rPr>
          <w:rFonts w:ascii="Verdana" w:hAnsi="Verdana" w:cs="Arial"/>
          <w:sz w:val="24"/>
          <w:szCs w:val="24"/>
        </w:rPr>
        <w:t>Moving on, w</w:t>
      </w:r>
      <w:r w:rsidR="00EC32A1">
        <w:rPr>
          <w:rFonts w:ascii="Verdana" w:hAnsi="Verdana" w:cs="Arial"/>
          <w:sz w:val="24"/>
          <w:szCs w:val="24"/>
        </w:rPr>
        <w:t xml:space="preserve">e first voiced our concern about the quality of Groupon’s operating cash flows </w:t>
      </w:r>
      <w:r w:rsidR="00220F9F">
        <w:rPr>
          <w:rFonts w:ascii="Verdana" w:hAnsi="Verdana" w:cs="Arial"/>
          <w:sz w:val="24"/>
          <w:szCs w:val="24"/>
        </w:rPr>
        <w:t xml:space="preserve">(OCF) </w:t>
      </w:r>
      <w:r w:rsidR="00EC32A1">
        <w:rPr>
          <w:rFonts w:ascii="Verdana" w:hAnsi="Verdana" w:cs="Arial"/>
          <w:sz w:val="24"/>
          <w:szCs w:val="24"/>
        </w:rPr>
        <w:t>in August of last year in “</w:t>
      </w:r>
      <w:hyperlink r:id="rId8" w:history="1">
        <w:r w:rsidR="00EC32A1" w:rsidRPr="00EC32A1">
          <w:rPr>
            <w:rStyle w:val="Hyperlink"/>
            <w:rFonts w:ascii="Verdana" w:hAnsi="Verdana" w:cs="Arial"/>
            <w:sz w:val="24"/>
            <w:szCs w:val="24"/>
          </w:rPr>
          <w:t>Trust No One, Particularly Not Groupon’s Accountants</w:t>
        </w:r>
      </w:hyperlink>
      <w:r w:rsidR="00EC32A1">
        <w:rPr>
          <w:rFonts w:ascii="Verdana" w:hAnsi="Verdana" w:cs="Arial"/>
          <w:sz w:val="24"/>
          <w:szCs w:val="24"/>
        </w:rPr>
        <w:t>.”  At that time, we argued:</w:t>
      </w:r>
    </w:p>
    <w:p w:rsidR="00EC32A1" w:rsidRDefault="00EC32A1" w:rsidP="00E81155">
      <w:pPr>
        <w:rPr>
          <w:rFonts w:ascii="Verdana" w:hAnsi="Verdana" w:cs="Arial"/>
          <w:sz w:val="24"/>
          <w:szCs w:val="24"/>
        </w:rPr>
      </w:pPr>
    </w:p>
    <w:p w:rsidR="00EC32A1" w:rsidRPr="00EC32A1" w:rsidRDefault="00EC32A1" w:rsidP="00EC32A1">
      <w:pPr>
        <w:ind w:left="720" w:right="720"/>
        <w:rPr>
          <w:rFonts w:ascii="Verdana" w:hAnsi="Verdana" w:cs="Arial"/>
          <w:sz w:val="24"/>
          <w:szCs w:val="24"/>
        </w:rPr>
      </w:pPr>
      <w:r w:rsidRPr="00EC32A1">
        <w:rPr>
          <w:rFonts w:ascii="Verdana" w:hAnsi="Verdana" w:cs="Arial"/>
          <w:i/>
          <w:sz w:val="24"/>
          <w:szCs w:val="24"/>
        </w:rPr>
        <w:t>Unfortunately, operating and free cash flows are driven solely by the fact that Groupon is dragging its feet in remitting coupon sale payments to its merchants.  Had merchants been paid in a timely fashion, the Company’s free cash flows would likely have been closer to zero and possibly even negative…Simply put, Groupon’s free cash flows aren’t real.  They come from an unusual (and likely temporary) vendor financing model, and are not sustainable</w:t>
      </w:r>
      <w:r w:rsidRPr="00EC32A1">
        <w:rPr>
          <w:rFonts w:ascii="Verdana" w:hAnsi="Verdana" w:cs="Arial"/>
          <w:sz w:val="24"/>
          <w:szCs w:val="24"/>
        </w:rPr>
        <w:t>.</w:t>
      </w:r>
    </w:p>
    <w:p w:rsidR="00EC32A1" w:rsidRDefault="00EC32A1" w:rsidP="00E81155">
      <w:pPr>
        <w:rPr>
          <w:rFonts w:ascii="Verdana" w:hAnsi="Verdana" w:cs="Arial"/>
          <w:sz w:val="24"/>
          <w:szCs w:val="24"/>
        </w:rPr>
      </w:pPr>
    </w:p>
    <w:p w:rsidR="004B69EA" w:rsidRDefault="00EC32A1" w:rsidP="00E81155">
      <w:pPr>
        <w:rPr>
          <w:rFonts w:ascii="Verdana" w:hAnsi="Verdana" w:cs="Arial"/>
          <w:sz w:val="24"/>
          <w:szCs w:val="24"/>
        </w:rPr>
      </w:pPr>
      <w:r>
        <w:rPr>
          <w:rFonts w:ascii="Verdana" w:hAnsi="Verdana" w:cs="Arial"/>
          <w:sz w:val="24"/>
          <w:szCs w:val="24"/>
        </w:rPr>
        <w:t>We then followed this up with a challenge to Groupon’s CFO to provide more cash flow disclosure in “</w:t>
      </w:r>
      <w:hyperlink r:id="rId9" w:history="1">
        <w:r w:rsidRPr="00EC32A1">
          <w:rPr>
            <w:rStyle w:val="Hyperlink"/>
            <w:rFonts w:ascii="Verdana" w:hAnsi="Verdana" w:cs="Arial"/>
            <w:sz w:val="24"/>
            <w:szCs w:val="24"/>
          </w:rPr>
          <w:t>Groupon CFO’s Spin Raises More Red Flags</w:t>
        </w:r>
      </w:hyperlink>
      <w:r>
        <w:rPr>
          <w:rFonts w:ascii="Verdana" w:hAnsi="Verdana" w:cs="Arial"/>
          <w:sz w:val="24"/>
          <w:szCs w:val="24"/>
        </w:rPr>
        <w:t xml:space="preserve">” in February of this year.  We pointed out that the Company’s “magic cash machine” was atypical of most growth companies </w:t>
      </w:r>
      <w:r w:rsidR="00694BA4">
        <w:rPr>
          <w:rFonts w:ascii="Verdana" w:hAnsi="Verdana" w:cs="Arial"/>
          <w:sz w:val="24"/>
          <w:szCs w:val="24"/>
        </w:rPr>
        <w:t xml:space="preserve">in </w:t>
      </w:r>
      <w:r>
        <w:rPr>
          <w:rFonts w:ascii="Verdana" w:hAnsi="Verdana" w:cs="Arial"/>
          <w:sz w:val="24"/>
          <w:szCs w:val="24"/>
        </w:rPr>
        <w:t>wh</w:t>
      </w:r>
      <w:r w:rsidR="00694BA4">
        <w:rPr>
          <w:rFonts w:ascii="Verdana" w:hAnsi="Verdana" w:cs="Arial"/>
          <w:sz w:val="24"/>
          <w:szCs w:val="24"/>
        </w:rPr>
        <w:t>ich</w:t>
      </w:r>
      <w:r>
        <w:rPr>
          <w:rFonts w:ascii="Verdana" w:hAnsi="Verdana" w:cs="Arial"/>
          <w:sz w:val="24"/>
          <w:szCs w:val="24"/>
        </w:rPr>
        <w:t xml:space="preserve"> operating cash flows tend to lag revenues, and even </w:t>
      </w:r>
      <w:r w:rsidR="00063675">
        <w:rPr>
          <w:rFonts w:ascii="Verdana" w:hAnsi="Verdana" w:cs="Arial"/>
          <w:sz w:val="24"/>
          <w:szCs w:val="24"/>
        </w:rPr>
        <w:t xml:space="preserve">Groupon’s CFO agreed by stating </w:t>
      </w:r>
      <w:r w:rsidR="00063675" w:rsidRPr="00063675">
        <w:rPr>
          <w:rFonts w:ascii="Verdana" w:hAnsi="Verdana" w:cs="Arial"/>
          <w:sz w:val="24"/>
          <w:szCs w:val="24"/>
        </w:rPr>
        <w:t>“it is pretty unusual to have a business that loses money from a GAAP income perspective, but actually generates free-cash flow.”</w:t>
      </w:r>
      <w:r w:rsidR="00063675">
        <w:rPr>
          <w:rFonts w:ascii="Verdana" w:hAnsi="Verdana" w:cs="Arial"/>
          <w:sz w:val="24"/>
          <w:szCs w:val="24"/>
        </w:rPr>
        <w:t xml:space="preserve"> </w:t>
      </w:r>
    </w:p>
    <w:p w:rsidR="004B69EA" w:rsidRDefault="004B69EA" w:rsidP="00E81155">
      <w:pPr>
        <w:rPr>
          <w:rFonts w:ascii="Verdana" w:hAnsi="Verdana" w:cs="Arial"/>
          <w:sz w:val="24"/>
          <w:szCs w:val="24"/>
        </w:rPr>
      </w:pPr>
    </w:p>
    <w:p w:rsidR="004B69EA" w:rsidRDefault="00063675" w:rsidP="00E81155">
      <w:pPr>
        <w:rPr>
          <w:rFonts w:ascii="Verdana" w:hAnsi="Verdana" w:cs="Arial"/>
          <w:sz w:val="24"/>
          <w:szCs w:val="24"/>
        </w:rPr>
      </w:pPr>
      <w:r>
        <w:rPr>
          <w:rFonts w:ascii="Verdana" w:hAnsi="Verdana" w:cs="Arial"/>
          <w:sz w:val="24"/>
          <w:szCs w:val="24"/>
        </w:rPr>
        <w:t>So, what’s the problem now?  Well, Groupon has no current assets that justify vendor payables being treated as traditional accounts payable. Specifically, except for $12.6 million of prepaid expenses, the balance of current assets are cash, yes, even the accou</w:t>
      </w:r>
      <w:r w:rsidR="00865B94">
        <w:rPr>
          <w:rFonts w:ascii="Verdana" w:hAnsi="Verdana" w:cs="Arial"/>
          <w:sz w:val="24"/>
          <w:szCs w:val="24"/>
        </w:rPr>
        <w:t>nts receivables.  According to N</w:t>
      </w:r>
      <w:r>
        <w:rPr>
          <w:rFonts w:ascii="Verdana" w:hAnsi="Verdana" w:cs="Arial"/>
          <w:sz w:val="24"/>
          <w:szCs w:val="24"/>
        </w:rPr>
        <w:t>ote 2 of the financial statements:</w:t>
      </w:r>
    </w:p>
    <w:p w:rsidR="00063675" w:rsidRDefault="00063675" w:rsidP="00E81155">
      <w:pPr>
        <w:rPr>
          <w:rFonts w:ascii="Verdana" w:hAnsi="Verdana" w:cs="Arial"/>
          <w:sz w:val="24"/>
          <w:szCs w:val="24"/>
        </w:rPr>
      </w:pPr>
    </w:p>
    <w:p w:rsidR="00063675" w:rsidRDefault="00063675" w:rsidP="00063675">
      <w:pPr>
        <w:ind w:left="720" w:right="720"/>
        <w:rPr>
          <w:rFonts w:ascii="Verdana" w:hAnsi="Verdana" w:cs="Arial"/>
          <w:sz w:val="24"/>
          <w:szCs w:val="24"/>
        </w:rPr>
      </w:pPr>
      <w:r w:rsidRPr="00063675">
        <w:rPr>
          <w:rFonts w:ascii="Verdana" w:hAnsi="Verdana" w:cs="Arial"/>
          <w:i/>
          <w:sz w:val="24"/>
          <w:szCs w:val="24"/>
        </w:rPr>
        <w:lastRenderedPageBreak/>
        <w:t>Accounts receivable primarily represent the net cash due from the Company's credit card and other payment processors for cleared transactions</w:t>
      </w:r>
      <w:r w:rsidRPr="00063675">
        <w:rPr>
          <w:rFonts w:ascii="Verdana" w:hAnsi="Verdana" w:cs="Arial"/>
          <w:sz w:val="24"/>
          <w:szCs w:val="24"/>
        </w:rPr>
        <w:t>.</w:t>
      </w:r>
    </w:p>
    <w:p w:rsidR="004B69EA" w:rsidRDefault="004B69EA" w:rsidP="00E81155">
      <w:pPr>
        <w:rPr>
          <w:rFonts w:ascii="Verdana" w:hAnsi="Verdana" w:cs="Arial"/>
          <w:sz w:val="24"/>
          <w:szCs w:val="24"/>
        </w:rPr>
      </w:pPr>
    </w:p>
    <w:p w:rsidR="009F5DB0" w:rsidRDefault="009C24BF" w:rsidP="00E81155">
      <w:pPr>
        <w:rPr>
          <w:rFonts w:ascii="Verdana" w:hAnsi="Verdana" w:cs="Arial"/>
          <w:sz w:val="24"/>
          <w:szCs w:val="24"/>
        </w:rPr>
      </w:pPr>
      <w:r>
        <w:rPr>
          <w:rFonts w:ascii="Verdana" w:hAnsi="Verdana" w:cs="Arial"/>
          <w:sz w:val="24"/>
          <w:szCs w:val="24"/>
        </w:rPr>
        <w:t xml:space="preserve">In most companies, accounts payable represent amounts due to vendors for inventory or services that they have sold or supplied.  </w:t>
      </w:r>
      <w:r w:rsidR="00694BA4">
        <w:rPr>
          <w:rFonts w:ascii="Verdana" w:hAnsi="Verdana" w:cs="Arial"/>
          <w:sz w:val="24"/>
          <w:szCs w:val="24"/>
        </w:rPr>
        <w:t>I</w:t>
      </w:r>
      <w:r>
        <w:rPr>
          <w:rFonts w:ascii="Verdana" w:hAnsi="Verdana" w:cs="Arial"/>
          <w:sz w:val="24"/>
          <w:szCs w:val="24"/>
        </w:rPr>
        <w:t xml:space="preserve">n Groupon’s case, </w:t>
      </w:r>
      <w:r w:rsidR="00694BA4">
        <w:rPr>
          <w:rFonts w:ascii="Verdana" w:hAnsi="Verdana" w:cs="Arial"/>
          <w:sz w:val="24"/>
          <w:szCs w:val="24"/>
        </w:rPr>
        <w:t xml:space="preserve">however, </w:t>
      </w:r>
      <w:r>
        <w:rPr>
          <w:rFonts w:ascii="Verdana" w:hAnsi="Verdana" w:cs="Arial"/>
          <w:sz w:val="24"/>
          <w:szCs w:val="24"/>
        </w:rPr>
        <w:t xml:space="preserve">the vendor payables do not relate to any </w:t>
      </w:r>
      <w:r w:rsidR="00220F9F">
        <w:rPr>
          <w:rFonts w:ascii="Verdana" w:hAnsi="Verdana" w:cs="Arial"/>
          <w:sz w:val="24"/>
          <w:szCs w:val="24"/>
        </w:rPr>
        <w:t xml:space="preserve">product or </w:t>
      </w:r>
      <w:r>
        <w:rPr>
          <w:rFonts w:ascii="Verdana" w:hAnsi="Verdana" w:cs="Arial"/>
          <w:sz w:val="24"/>
          <w:szCs w:val="24"/>
        </w:rPr>
        <w:t xml:space="preserve">service </w:t>
      </w:r>
      <w:r w:rsidRPr="00865B94">
        <w:rPr>
          <w:rFonts w:ascii="Verdana" w:hAnsi="Verdana" w:cs="Arial"/>
          <w:b/>
          <w:i/>
          <w:sz w:val="24"/>
          <w:szCs w:val="24"/>
        </w:rPr>
        <w:t>actually supplied</w:t>
      </w:r>
      <w:r>
        <w:rPr>
          <w:rFonts w:ascii="Verdana" w:hAnsi="Verdana" w:cs="Arial"/>
          <w:sz w:val="24"/>
          <w:szCs w:val="24"/>
        </w:rPr>
        <w:t xml:space="preserve"> to the Company</w:t>
      </w:r>
      <w:r w:rsidR="00220F9F">
        <w:rPr>
          <w:rFonts w:ascii="Verdana" w:hAnsi="Verdana" w:cs="Arial"/>
          <w:sz w:val="24"/>
          <w:szCs w:val="24"/>
        </w:rPr>
        <w:t xml:space="preserve"> by merchants</w:t>
      </w:r>
      <w:r w:rsidR="00945340">
        <w:rPr>
          <w:rFonts w:ascii="Verdana" w:hAnsi="Verdana" w:cs="Arial"/>
          <w:sz w:val="24"/>
          <w:szCs w:val="24"/>
        </w:rPr>
        <w:t>; h</w:t>
      </w:r>
      <w:r w:rsidR="009F5DB0">
        <w:rPr>
          <w:rFonts w:ascii="Verdana" w:hAnsi="Verdana" w:cs="Arial"/>
          <w:sz w:val="24"/>
          <w:szCs w:val="24"/>
        </w:rPr>
        <w:t xml:space="preserve">ence they do not create a cost to Groupon whatsoever.  </w:t>
      </w:r>
      <w:r>
        <w:rPr>
          <w:rFonts w:ascii="Verdana" w:hAnsi="Verdana" w:cs="Arial"/>
          <w:sz w:val="24"/>
          <w:szCs w:val="24"/>
        </w:rPr>
        <w:t>Instead, they represent</w:t>
      </w:r>
      <w:r w:rsidR="00220F9F">
        <w:rPr>
          <w:rFonts w:ascii="Verdana" w:hAnsi="Verdana" w:cs="Arial"/>
          <w:sz w:val="24"/>
          <w:szCs w:val="24"/>
        </w:rPr>
        <w:t xml:space="preserve"> advanced cash collections made by Groupon on behalf of merchants for whom Groupons have been sold.  Clearly, these are some type of payable, but the</w:t>
      </w:r>
      <w:r w:rsidR="009F5DB0">
        <w:rPr>
          <w:rFonts w:ascii="Verdana" w:hAnsi="Verdana" w:cs="Arial"/>
          <w:sz w:val="24"/>
          <w:szCs w:val="24"/>
        </w:rPr>
        <w:t xml:space="preserve"> question is whether they are</w:t>
      </w:r>
      <w:r w:rsidR="00220F9F">
        <w:rPr>
          <w:rFonts w:ascii="Verdana" w:hAnsi="Verdana" w:cs="Arial"/>
          <w:sz w:val="24"/>
          <w:szCs w:val="24"/>
        </w:rPr>
        <w:t xml:space="preserve"> </w:t>
      </w:r>
      <w:r w:rsidR="00220F9F" w:rsidRPr="009F5DB0">
        <w:rPr>
          <w:rFonts w:ascii="Verdana" w:hAnsi="Verdana" w:cs="Arial"/>
          <w:i/>
          <w:sz w:val="24"/>
          <w:szCs w:val="24"/>
        </w:rPr>
        <w:t>operating or financing cash flows</w:t>
      </w:r>
      <w:r w:rsidR="00220F9F">
        <w:rPr>
          <w:rFonts w:ascii="Verdana" w:hAnsi="Verdana" w:cs="Arial"/>
          <w:sz w:val="24"/>
          <w:szCs w:val="24"/>
        </w:rPr>
        <w:t xml:space="preserve">.  </w:t>
      </w:r>
    </w:p>
    <w:p w:rsidR="009F5DB0" w:rsidRDefault="009F5DB0" w:rsidP="00E81155">
      <w:pPr>
        <w:rPr>
          <w:rFonts w:ascii="Verdana" w:hAnsi="Verdana" w:cs="Arial"/>
          <w:sz w:val="24"/>
          <w:szCs w:val="24"/>
        </w:rPr>
      </w:pPr>
    </w:p>
    <w:p w:rsidR="001123AF" w:rsidRDefault="009F5DB0" w:rsidP="00E81155">
      <w:pPr>
        <w:rPr>
          <w:rFonts w:ascii="Verdana" w:hAnsi="Verdana" w:cs="Arial"/>
          <w:sz w:val="24"/>
          <w:szCs w:val="24"/>
        </w:rPr>
      </w:pPr>
      <w:r>
        <w:rPr>
          <w:rFonts w:ascii="Verdana" w:hAnsi="Verdana" w:cs="Arial"/>
          <w:sz w:val="24"/>
          <w:szCs w:val="24"/>
        </w:rPr>
        <w:t>Being grumpy AND old, we were taught that O</w:t>
      </w:r>
      <w:r w:rsidR="00220F9F">
        <w:rPr>
          <w:rFonts w:ascii="Verdana" w:hAnsi="Verdana" w:cs="Arial"/>
          <w:sz w:val="24"/>
          <w:szCs w:val="24"/>
        </w:rPr>
        <w:t xml:space="preserve">CF </w:t>
      </w:r>
      <w:r>
        <w:rPr>
          <w:rFonts w:ascii="Verdana" w:hAnsi="Verdana" w:cs="Arial"/>
          <w:sz w:val="24"/>
          <w:szCs w:val="24"/>
        </w:rPr>
        <w:t>generally is</w:t>
      </w:r>
      <w:r w:rsidR="00220F9F" w:rsidRPr="00220F9F">
        <w:rPr>
          <w:rFonts w:ascii="Verdana" w:hAnsi="Verdana" w:cs="Arial"/>
          <w:sz w:val="24"/>
          <w:szCs w:val="24"/>
        </w:rPr>
        <w:t xml:space="preserve"> the amount of cash a company generates from the revenues it brings in, excluding costs associated with long-term investment on capital items or investment in securities</w:t>
      </w:r>
      <w:r>
        <w:rPr>
          <w:rFonts w:ascii="Verdana" w:hAnsi="Verdana" w:cs="Arial"/>
          <w:sz w:val="24"/>
          <w:szCs w:val="24"/>
        </w:rPr>
        <w:t xml:space="preserve">. In short, operating cash revenues less operating cash expenses! Merchant payables create no future revenue or expenses for </w:t>
      </w:r>
      <w:r w:rsidR="00B86D31">
        <w:rPr>
          <w:rFonts w:ascii="Verdana" w:hAnsi="Verdana" w:cs="Arial"/>
          <w:sz w:val="24"/>
          <w:szCs w:val="24"/>
        </w:rPr>
        <w:t>Groupon;</w:t>
      </w:r>
      <w:r>
        <w:rPr>
          <w:rFonts w:ascii="Verdana" w:hAnsi="Verdana" w:cs="Arial"/>
          <w:sz w:val="24"/>
          <w:szCs w:val="24"/>
        </w:rPr>
        <w:t xml:space="preserve"> so, including merchant cash flows collected as operating cash flows is simply ludicrous!</w:t>
      </w:r>
      <w:r w:rsidR="00434119">
        <w:rPr>
          <w:rFonts w:ascii="Verdana" w:hAnsi="Verdana" w:cs="Arial"/>
          <w:sz w:val="24"/>
          <w:szCs w:val="24"/>
        </w:rPr>
        <w:t xml:space="preserve">  </w:t>
      </w:r>
      <w:r w:rsidR="00694BA4">
        <w:rPr>
          <w:rFonts w:ascii="Verdana" w:hAnsi="Verdana" w:cs="Arial"/>
          <w:sz w:val="24"/>
          <w:szCs w:val="24"/>
        </w:rPr>
        <w:t xml:space="preserve">Instead it is like a note payable, a financing cash flow.  </w:t>
      </w:r>
      <w:r w:rsidR="00434119">
        <w:rPr>
          <w:rFonts w:ascii="Verdana" w:hAnsi="Verdana" w:cs="Arial"/>
          <w:sz w:val="24"/>
          <w:szCs w:val="24"/>
        </w:rPr>
        <w:t>By the way, the Company acknowledges reliance on merchant payables as a necessary funding (aka financing) source in its risk disclosures on page 20 of its 10K:</w:t>
      </w:r>
    </w:p>
    <w:p w:rsidR="00434119" w:rsidRDefault="00434119" w:rsidP="00E81155">
      <w:pPr>
        <w:rPr>
          <w:rFonts w:ascii="Verdana" w:hAnsi="Verdana" w:cs="Arial"/>
          <w:sz w:val="24"/>
          <w:szCs w:val="24"/>
        </w:rPr>
      </w:pPr>
    </w:p>
    <w:p w:rsidR="00434119" w:rsidRPr="00434119" w:rsidRDefault="00434119" w:rsidP="00434119">
      <w:pPr>
        <w:ind w:left="720" w:right="720"/>
        <w:rPr>
          <w:rFonts w:ascii="Verdana" w:hAnsi="Verdana" w:cs="Arial"/>
          <w:i/>
          <w:sz w:val="24"/>
          <w:szCs w:val="24"/>
        </w:rPr>
      </w:pPr>
      <w:r w:rsidRPr="00434119">
        <w:rPr>
          <w:rFonts w:ascii="Verdana" w:hAnsi="Verdana" w:cs="Arial"/>
          <w:i/>
          <w:sz w:val="24"/>
          <w:szCs w:val="24"/>
        </w:rPr>
        <w:t xml:space="preserve">If we offer our merchant partners more favorable or accelerated payment terms or our revenue does not continue to grow in the future, our operating cash flow and results of operations could be adversely impacted and we may have to seek </w:t>
      </w:r>
      <w:r w:rsidRPr="00434119">
        <w:rPr>
          <w:rFonts w:ascii="Verdana" w:hAnsi="Verdana" w:cs="Arial"/>
          <w:b/>
          <w:i/>
          <w:sz w:val="24"/>
          <w:szCs w:val="24"/>
        </w:rPr>
        <w:t>alternative financing</w:t>
      </w:r>
      <w:r w:rsidRPr="00434119">
        <w:rPr>
          <w:rFonts w:ascii="Verdana" w:hAnsi="Verdana" w:cs="Arial"/>
          <w:i/>
          <w:sz w:val="24"/>
          <w:szCs w:val="24"/>
        </w:rPr>
        <w:t xml:space="preserve"> to fund our working capital needs. (</w:t>
      </w:r>
      <w:r w:rsidRPr="00434119">
        <w:rPr>
          <w:rFonts w:ascii="Verdana" w:hAnsi="Verdana" w:cs="Arial"/>
          <w:b/>
          <w:i/>
          <w:sz w:val="24"/>
          <w:szCs w:val="24"/>
        </w:rPr>
        <w:t>emphasis added</w:t>
      </w:r>
      <w:r w:rsidRPr="00434119">
        <w:rPr>
          <w:rFonts w:ascii="Verdana" w:hAnsi="Verdana" w:cs="Arial"/>
          <w:i/>
          <w:sz w:val="24"/>
          <w:szCs w:val="24"/>
        </w:rPr>
        <w:t>).</w:t>
      </w:r>
    </w:p>
    <w:p w:rsidR="00220F9F" w:rsidRDefault="00220F9F" w:rsidP="00E81155">
      <w:pPr>
        <w:rPr>
          <w:rFonts w:ascii="Verdana" w:hAnsi="Verdana" w:cs="Arial"/>
          <w:sz w:val="24"/>
          <w:szCs w:val="24"/>
        </w:rPr>
      </w:pPr>
    </w:p>
    <w:p w:rsidR="00220F9F" w:rsidRDefault="00890856" w:rsidP="00E81155">
      <w:pPr>
        <w:rPr>
          <w:rFonts w:ascii="Verdana" w:hAnsi="Verdana" w:cs="Arial"/>
          <w:sz w:val="24"/>
          <w:szCs w:val="24"/>
        </w:rPr>
      </w:pPr>
      <w:r>
        <w:rPr>
          <w:rFonts w:ascii="Verdana" w:hAnsi="Verdana" w:cs="Arial"/>
          <w:sz w:val="24"/>
          <w:szCs w:val="24"/>
        </w:rPr>
        <w:t>Therefore, we propose using</w:t>
      </w:r>
      <w:r w:rsidR="009F5DB0">
        <w:rPr>
          <w:rFonts w:ascii="Verdana" w:hAnsi="Verdana" w:cs="Arial"/>
          <w:sz w:val="24"/>
          <w:szCs w:val="24"/>
        </w:rPr>
        <w:t xml:space="preserve"> “adjusted” cash flow metric</w:t>
      </w:r>
      <w:r>
        <w:rPr>
          <w:rFonts w:ascii="Verdana" w:hAnsi="Verdana" w:cs="Arial"/>
          <w:sz w:val="24"/>
          <w:szCs w:val="24"/>
        </w:rPr>
        <w:t>s</w:t>
      </w:r>
      <w:r w:rsidR="009F5DB0">
        <w:rPr>
          <w:rFonts w:ascii="Verdana" w:hAnsi="Verdana" w:cs="Arial"/>
          <w:sz w:val="24"/>
          <w:szCs w:val="24"/>
        </w:rPr>
        <w:t xml:space="preserve"> (Groupon should love this) to analyze the Company’s real operating cash flows</w:t>
      </w:r>
      <w:r w:rsidR="00434119">
        <w:rPr>
          <w:rFonts w:ascii="Verdana" w:hAnsi="Verdana" w:cs="Arial"/>
          <w:sz w:val="24"/>
          <w:szCs w:val="24"/>
        </w:rPr>
        <w:t xml:space="preserve"> and free cash flow</w:t>
      </w:r>
      <w:r>
        <w:rPr>
          <w:rFonts w:ascii="Verdana" w:hAnsi="Verdana" w:cs="Arial"/>
          <w:sz w:val="24"/>
          <w:szCs w:val="24"/>
        </w:rPr>
        <w:t xml:space="preserve"> (FCF)</w:t>
      </w:r>
      <w:r w:rsidR="009F5DB0">
        <w:rPr>
          <w:rFonts w:ascii="Verdana" w:hAnsi="Verdana" w:cs="Arial"/>
          <w:sz w:val="24"/>
          <w:szCs w:val="24"/>
        </w:rPr>
        <w:t xml:space="preserve">, </w:t>
      </w:r>
      <w:r w:rsidR="00434119">
        <w:rPr>
          <w:rFonts w:ascii="Verdana" w:hAnsi="Verdana" w:cs="Arial"/>
          <w:sz w:val="24"/>
          <w:szCs w:val="24"/>
        </w:rPr>
        <w:t>that excludes the effect of merchant payables, which are clearly financing cash flows.</w:t>
      </w:r>
    </w:p>
    <w:p w:rsidR="00434119" w:rsidRDefault="00434119" w:rsidP="00E81155">
      <w:pPr>
        <w:rPr>
          <w:rFonts w:ascii="Verdana" w:hAnsi="Verdana"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1620"/>
        <w:gridCol w:w="1710"/>
        <w:gridCol w:w="1638"/>
      </w:tblGrid>
      <w:tr w:rsidR="00890856" w:rsidRPr="00890856" w:rsidTr="00890856">
        <w:tc>
          <w:tcPr>
            <w:tcW w:w="4608" w:type="dxa"/>
          </w:tcPr>
          <w:p w:rsidR="00890856" w:rsidRPr="00890856" w:rsidRDefault="00890856" w:rsidP="00890856">
            <w:pPr>
              <w:jc w:val="center"/>
              <w:rPr>
                <w:rFonts w:ascii="Verdana" w:hAnsi="Verdana" w:cs="Arial"/>
                <w:b/>
                <w:sz w:val="24"/>
                <w:szCs w:val="24"/>
              </w:rPr>
            </w:pPr>
          </w:p>
        </w:tc>
        <w:tc>
          <w:tcPr>
            <w:tcW w:w="1620" w:type="dxa"/>
          </w:tcPr>
          <w:p w:rsidR="00890856" w:rsidRPr="00890856" w:rsidRDefault="00890856" w:rsidP="00890856">
            <w:pPr>
              <w:jc w:val="center"/>
              <w:rPr>
                <w:rFonts w:ascii="Verdana" w:hAnsi="Verdana" w:cs="Arial"/>
                <w:b/>
                <w:sz w:val="24"/>
                <w:szCs w:val="24"/>
              </w:rPr>
            </w:pPr>
            <w:r w:rsidRPr="00890856">
              <w:rPr>
                <w:rFonts w:ascii="Verdana" w:hAnsi="Verdana" w:cs="Arial"/>
                <w:b/>
                <w:sz w:val="24"/>
                <w:szCs w:val="24"/>
              </w:rPr>
              <w:t>2009</w:t>
            </w:r>
          </w:p>
        </w:tc>
        <w:tc>
          <w:tcPr>
            <w:tcW w:w="1710" w:type="dxa"/>
          </w:tcPr>
          <w:p w:rsidR="00890856" w:rsidRPr="00890856" w:rsidRDefault="00890856" w:rsidP="00890856">
            <w:pPr>
              <w:jc w:val="center"/>
              <w:rPr>
                <w:rFonts w:ascii="Verdana" w:hAnsi="Verdana" w:cs="Arial"/>
                <w:b/>
                <w:sz w:val="24"/>
                <w:szCs w:val="24"/>
              </w:rPr>
            </w:pPr>
            <w:r w:rsidRPr="00890856">
              <w:rPr>
                <w:rFonts w:ascii="Verdana" w:hAnsi="Verdana" w:cs="Arial"/>
                <w:b/>
                <w:sz w:val="24"/>
                <w:szCs w:val="24"/>
              </w:rPr>
              <w:t>2010</w:t>
            </w:r>
          </w:p>
        </w:tc>
        <w:tc>
          <w:tcPr>
            <w:tcW w:w="1638" w:type="dxa"/>
          </w:tcPr>
          <w:p w:rsidR="00890856" w:rsidRPr="00890856" w:rsidRDefault="00890856" w:rsidP="00890856">
            <w:pPr>
              <w:jc w:val="center"/>
              <w:rPr>
                <w:rFonts w:ascii="Verdana" w:hAnsi="Verdana" w:cs="Arial"/>
                <w:b/>
                <w:sz w:val="24"/>
                <w:szCs w:val="24"/>
              </w:rPr>
            </w:pPr>
            <w:r w:rsidRPr="00890856">
              <w:rPr>
                <w:rFonts w:ascii="Verdana" w:hAnsi="Verdana" w:cs="Arial"/>
                <w:b/>
                <w:sz w:val="24"/>
                <w:szCs w:val="24"/>
              </w:rPr>
              <w:t>2011</w:t>
            </w:r>
          </w:p>
        </w:tc>
      </w:tr>
      <w:tr w:rsidR="00890856" w:rsidTr="00890856">
        <w:tc>
          <w:tcPr>
            <w:tcW w:w="4608" w:type="dxa"/>
          </w:tcPr>
          <w:p w:rsidR="00890856" w:rsidRDefault="00890856" w:rsidP="00E81155">
            <w:pPr>
              <w:rPr>
                <w:rFonts w:ascii="Verdana" w:hAnsi="Verdana" w:cs="Arial"/>
                <w:sz w:val="24"/>
                <w:szCs w:val="24"/>
              </w:rPr>
            </w:pPr>
            <w:r>
              <w:rPr>
                <w:rFonts w:ascii="Verdana" w:hAnsi="Verdana" w:cs="Arial"/>
                <w:sz w:val="24"/>
                <w:szCs w:val="24"/>
              </w:rPr>
              <w:t>Reported OCF</w:t>
            </w:r>
          </w:p>
        </w:tc>
        <w:tc>
          <w:tcPr>
            <w:tcW w:w="1620" w:type="dxa"/>
          </w:tcPr>
          <w:p w:rsidR="00890856" w:rsidRDefault="00890856" w:rsidP="00890856">
            <w:pPr>
              <w:jc w:val="center"/>
              <w:rPr>
                <w:rFonts w:ascii="Verdana" w:hAnsi="Verdana" w:cs="Arial"/>
                <w:sz w:val="24"/>
                <w:szCs w:val="24"/>
              </w:rPr>
            </w:pPr>
            <w:r>
              <w:rPr>
                <w:rFonts w:ascii="Verdana" w:hAnsi="Verdana" w:cs="Arial"/>
                <w:sz w:val="24"/>
                <w:szCs w:val="24"/>
              </w:rPr>
              <w:t>7,510</w:t>
            </w:r>
          </w:p>
        </w:tc>
        <w:tc>
          <w:tcPr>
            <w:tcW w:w="1710" w:type="dxa"/>
          </w:tcPr>
          <w:p w:rsidR="00890856" w:rsidRDefault="00890856" w:rsidP="00890856">
            <w:pPr>
              <w:jc w:val="center"/>
              <w:rPr>
                <w:rFonts w:ascii="Verdana" w:hAnsi="Verdana" w:cs="Arial"/>
                <w:sz w:val="24"/>
                <w:szCs w:val="24"/>
              </w:rPr>
            </w:pPr>
            <w:r>
              <w:rPr>
                <w:rFonts w:ascii="Verdana" w:hAnsi="Verdana" w:cs="Arial"/>
                <w:sz w:val="24"/>
                <w:szCs w:val="24"/>
              </w:rPr>
              <w:t>86,885</w:t>
            </w:r>
          </w:p>
        </w:tc>
        <w:tc>
          <w:tcPr>
            <w:tcW w:w="1638" w:type="dxa"/>
          </w:tcPr>
          <w:p w:rsidR="00890856" w:rsidRDefault="00890856" w:rsidP="00890856">
            <w:pPr>
              <w:jc w:val="center"/>
              <w:rPr>
                <w:rFonts w:ascii="Verdana" w:hAnsi="Verdana" w:cs="Arial"/>
                <w:sz w:val="24"/>
                <w:szCs w:val="24"/>
              </w:rPr>
            </w:pPr>
            <w:r>
              <w:rPr>
                <w:rFonts w:ascii="Verdana" w:hAnsi="Verdana" w:cs="Arial"/>
                <w:sz w:val="24"/>
                <w:szCs w:val="24"/>
              </w:rPr>
              <w:t>290,447</w:t>
            </w:r>
          </w:p>
        </w:tc>
      </w:tr>
      <w:tr w:rsidR="00890856" w:rsidTr="00890856">
        <w:tc>
          <w:tcPr>
            <w:tcW w:w="4608" w:type="dxa"/>
          </w:tcPr>
          <w:p w:rsidR="00890856" w:rsidRDefault="00890856" w:rsidP="00E81155">
            <w:pPr>
              <w:rPr>
                <w:rFonts w:ascii="Verdana" w:hAnsi="Verdana" w:cs="Arial"/>
                <w:sz w:val="24"/>
                <w:szCs w:val="24"/>
              </w:rPr>
            </w:pPr>
            <w:r>
              <w:rPr>
                <w:rFonts w:ascii="Verdana" w:hAnsi="Verdana" w:cs="Arial"/>
                <w:sz w:val="24"/>
                <w:szCs w:val="24"/>
              </w:rPr>
              <w:t>Merchant Payable Adjustment</w:t>
            </w:r>
          </w:p>
        </w:tc>
        <w:tc>
          <w:tcPr>
            <w:tcW w:w="1620" w:type="dxa"/>
          </w:tcPr>
          <w:p w:rsidR="00890856" w:rsidRPr="00890856" w:rsidRDefault="00890856" w:rsidP="00890856">
            <w:pPr>
              <w:jc w:val="center"/>
              <w:rPr>
                <w:rFonts w:ascii="Verdana" w:hAnsi="Verdana" w:cs="Arial"/>
                <w:sz w:val="24"/>
                <w:szCs w:val="24"/>
                <w:u w:val="single"/>
              </w:rPr>
            </w:pPr>
            <w:r w:rsidRPr="00890856">
              <w:rPr>
                <w:rFonts w:ascii="Verdana" w:hAnsi="Verdana" w:cs="Arial"/>
                <w:sz w:val="24"/>
                <w:szCs w:val="24"/>
                <w:u w:val="single"/>
              </w:rPr>
              <w:t>(4,305)</w:t>
            </w:r>
          </w:p>
        </w:tc>
        <w:tc>
          <w:tcPr>
            <w:tcW w:w="1710" w:type="dxa"/>
          </w:tcPr>
          <w:p w:rsidR="00890856" w:rsidRPr="00890856" w:rsidRDefault="00890856" w:rsidP="00890856">
            <w:pPr>
              <w:jc w:val="center"/>
              <w:rPr>
                <w:rFonts w:ascii="Verdana" w:hAnsi="Verdana" w:cs="Arial"/>
                <w:sz w:val="24"/>
                <w:szCs w:val="24"/>
                <w:u w:val="single"/>
              </w:rPr>
            </w:pPr>
            <w:r w:rsidRPr="00890856">
              <w:rPr>
                <w:rFonts w:ascii="Verdana" w:hAnsi="Verdana" w:cs="Arial"/>
                <w:sz w:val="24"/>
                <w:szCs w:val="24"/>
                <w:u w:val="single"/>
              </w:rPr>
              <w:t>(149,044)</w:t>
            </w:r>
          </w:p>
        </w:tc>
        <w:tc>
          <w:tcPr>
            <w:tcW w:w="1638" w:type="dxa"/>
          </w:tcPr>
          <w:p w:rsidR="00890856" w:rsidRPr="00890856" w:rsidRDefault="00890856" w:rsidP="00890856">
            <w:pPr>
              <w:jc w:val="center"/>
              <w:rPr>
                <w:rFonts w:ascii="Verdana" w:hAnsi="Verdana" w:cs="Arial"/>
                <w:sz w:val="24"/>
                <w:szCs w:val="24"/>
                <w:u w:val="single"/>
              </w:rPr>
            </w:pPr>
            <w:r w:rsidRPr="00890856">
              <w:rPr>
                <w:rFonts w:ascii="Verdana" w:hAnsi="Verdana" w:cs="Arial"/>
                <w:sz w:val="24"/>
                <w:szCs w:val="24"/>
                <w:u w:val="single"/>
              </w:rPr>
              <w:t>(380,108)</w:t>
            </w:r>
          </w:p>
        </w:tc>
      </w:tr>
      <w:tr w:rsidR="00890856" w:rsidRPr="00890856" w:rsidTr="00890856">
        <w:tc>
          <w:tcPr>
            <w:tcW w:w="4608" w:type="dxa"/>
          </w:tcPr>
          <w:p w:rsidR="00890856" w:rsidRPr="00890856" w:rsidRDefault="00890856" w:rsidP="00E81155">
            <w:pPr>
              <w:rPr>
                <w:rFonts w:ascii="Verdana" w:hAnsi="Verdana" w:cs="Arial"/>
                <w:b/>
                <w:i/>
                <w:sz w:val="24"/>
                <w:szCs w:val="24"/>
              </w:rPr>
            </w:pPr>
            <w:r w:rsidRPr="00890856">
              <w:rPr>
                <w:rFonts w:ascii="Verdana" w:hAnsi="Verdana" w:cs="Arial"/>
                <w:b/>
                <w:i/>
                <w:sz w:val="24"/>
                <w:szCs w:val="24"/>
              </w:rPr>
              <w:t xml:space="preserve">   Adjusted OCF</w:t>
            </w:r>
          </w:p>
        </w:tc>
        <w:tc>
          <w:tcPr>
            <w:tcW w:w="1620" w:type="dxa"/>
          </w:tcPr>
          <w:p w:rsidR="00890856" w:rsidRPr="00890856" w:rsidRDefault="00890856" w:rsidP="00890856">
            <w:pPr>
              <w:jc w:val="center"/>
              <w:rPr>
                <w:rFonts w:ascii="Verdana" w:hAnsi="Verdana" w:cs="Arial"/>
                <w:b/>
                <w:i/>
                <w:sz w:val="24"/>
                <w:szCs w:val="24"/>
              </w:rPr>
            </w:pPr>
            <w:r w:rsidRPr="00890856">
              <w:rPr>
                <w:rFonts w:ascii="Verdana" w:hAnsi="Verdana" w:cs="Arial"/>
                <w:b/>
                <w:i/>
                <w:sz w:val="24"/>
                <w:szCs w:val="24"/>
              </w:rPr>
              <w:t>3,205</w:t>
            </w:r>
          </w:p>
        </w:tc>
        <w:tc>
          <w:tcPr>
            <w:tcW w:w="1710" w:type="dxa"/>
          </w:tcPr>
          <w:p w:rsidR="00890856" w:rsidRPr="00890856" w:rsidRDefault="00890856" w:rsidP="00890856">
            <w:pPr>
              <w:jc w:val="center"/>
              <w:rPr>
                <w:rFonts w:ascii="Verdana" w:hAnsi="Verdana" w:cs="Arial"/>
                <w:b/>
                <w:i/>
                <w:sz w:val="24"/>
                <w:szCs w:val="24"/>
              </w:rPr>
            </w:pPr>
            <w:r w:rsidRPr="00890856">
              <w:rPr>
                <w:rFonts w:ascii="Verdana" w:hAnsi="Verdana" w:cs="Arial"/>
                <w:b/>
                <w:i/>
                <w:sz w:val="24"/>
                <w:szCs w:val="24"/>
              </w:rPr>
              <w:t>(62,159)</w:t>
            </w:r>
          </w:p>
        </w:tc>
        <w:tc>
          <w:tcPr>
            <w:tcW w:w="1638" w:type="dxa"/>
          </w:tcPr>
          <w:p w:rsidR="00890856" w:rsidRPr="00890856" w:rsidRDefault="00890856" w:rsidP="00890856">
            <w:pPr>
              <w:jc w:val="center"/>
              <w:rPr>
                <w:rFonts w:ascii="Verdana" w:hAnsi="Verdana" w:cs="Arial"/>
                <w:b/>
                <w:i/>
                <w:sz w:val="24"/>
                <w:szCs w:val="24"/>
              </w:rPr>
            </w:pPr>
            <w:r w:rsidRPr="00890856">
              <w:rPr>
                <w:rFonts w:ascii="Verdana" w:hAnsi="Verdana" w:cs="Arial"/>
                <w:b/>
                <w:i/>
                <w:sz w:val="24"/>
                <w:szCs w:val="24"/>
              </w:rPr>
              <w:t>(89,661)</w:t>
            </w:r>
          </w:p>
        </w:tc>
      </w:tr>
      <w:tr w:rsidR="00890856" w:rsidTr="00890856">
        <w:tc>
          <w:tcPr>
            <w:tcW w:w="4608" w:type="dxa"/>
          </w:tcPr>
          <w:p w:rsidR="00890856" w:rsidRDefault="00890856" w:rsidP="00E81155">
            <w:pPr>
              <w:rPr>
                <w:rFonts w:ascii="Verdana" w:hAnsi="Verdana" w:cs="Arial"/>
                <w:sz w:val="24"/>
                <w:szCs w:val="24"/>
              </w:rPr>
            </w:pPr>
            <w:r>
              <w:rPr>
                <w:rFonts w:ascii="Verdana" w:hAnsi="Verdana" w:cs="Arial"/>
                <w:sz w:val="24"/>
                <w:szCs w:val="24"/>
              </w:rPr>
              <w:t>Purchases of Property &amp; Equipment</w:t>
            </w:r>
          </w:p>
        </w:tc>
        <w:tc>
          <w:tcPr>
            <w:tcW w:w="1620" w:type="dxa"/>
          </w:tcPr>
          <w:p w:rsidR="00890856" w:rsidRPr="00890856" w:rsidRDefault="00890856" w:rsidP="00890856">
            <w:pPr>
              <w:jc w:val="center"/>
              <w:rPr>
                <w:rFonts w:ascii="Verdana" w:hAnsi="Verdana" w:cs="Arial"/>
                <w:sz w:val="24"/>
                <w:szCs w:val="24"/>
                <w:u w:val="single"/>
              </w:rPr>
            </w:pPr>
            <w:r w:rsidRPr="00890856">
              <w:rPr>
                <w:rFonts w:ascii="Verdana" w:hAnsi="Verdana" w:cs="Arial"/>
                <w:sz w:val="24"/>
                <w:szCs w:val="24"/>
                <w:u w:val="single"/>
              </w:rPr>
              <w:t>(290)</w:t>
            </w:r>
          </w:p>
        </w:tc>
        <w:tc>
          <w:tcPr>
            <w:tcW w:w="1710" w:type="dxa"/>
          </w:tcPr>
          <w:p w:rsidR="00890856" w:rsidRPr="00890856" w:rsidRDefault="00890856" w:rsidP="00890856">
            <w:pPr>
              <w:jc w:val="center"/>
              <w:rPr>
                <w:rFonts w:ascii="Verdana" w:hAnsi="Verdana" w:cs="Arial"/>
                <w:sz w:val="24"/>
                <w:szCs w:val="24"/>
                <w:u w:val="single"/>
              </w:rPr>
            </w:pPr>
            <w:r w:rsidRPr="00890856">
              <w:rPr>
                <w:rFonts w:ascii="Verdana" w:hAnsi="Verdana" w:cs="Arial"/>
                <w:sz w:val="24"/>
                <w:szCs w:val="24"/>
                <w:u w:val="single"/>
              </w:rPr>
              <w:t>(14,681)</w:t>
            </w:r>
          </w:p>
        </w:tc>
        <w:tc>
          <w:tcPr>
            <w:tcW w:w="1638" w:type="dxa"/>
          </w:tcPr>
          <w:p w:rsidR="00890856" w:rsidRPr="00890856" w:rsidRDefault="00890856" w:rsidP="00890856">
            <w:pPr>
              <w:jc w:val="center"/>
              <w:rPr>
                <w:rFonts w:ascii="Verdana" w:hAnsi="Verdana" w:cs="Arial"/>
                <w:sz w:val="24"/>
                <w:szCs w:val="24"/>
                <w:u w:val="single"/>
              </w:rPr>
            </w:pPr>
            <w:r w:rsidRPr="00890856">
              <w:rPr>
                <w:rFonts w:ascii="Verdana" w:hAnsi="Verdana" w:cs="Arial"/>
                <w:sz w:val="24"/>
                <w:szCs w:val="24"/>
                <w:u w:val="single"/>
              </w:rPr>
              <w:t>(43,811)</w:t>
            </w:r>
          </w:p>
        </w:tc>
      </w:tr>
      <w:tr w:rsidR="00890856" w:rsidRPr="00890856" w:rsidTr="00890856">
        <w:tc>
          <w:tcPr>
            <w:tcW w:w="4608" w:type="dxa"/>
          </w:tcPr>
          <w:p w:rsidR="00890856" w:rsidRPr="00890856" w:rsidRDefault="00890856" w:rsidP="00694BA4">
            <w:pPr>
              <w:rPr>
                <w:rFonts w:ascii="Verdana" w:hAnsi="Verdana" w:cs="Arial"/>
                <w:b/>
                <w:i/>
                <w:sz w:val="24"/>
                <w:szCs w:val="24"/>
              </w:rPr>
            </w:pPr>
            <w:r w:rsidRPr="00890856">
              <w:rPr>
                <w:rFonts w:ascii="Verdana" w:hAnsi="Verdana" w:cs="Arial"/>
                <w:b/>
                <w:i/>
                <w:sz w:val="24"/>
                <w:szCs w:val="24"/>
              </w:rPr>
              <w:t xml:space="preserve">   Adjusted FC</w:t>
            </w:r>
            <w:r w:rsidR="00694BA4">
              <w:rPr>
                <w:rFonts w:ascii="Verdana" w:hAnsi="Verdana" w:cs="Arial"/>
                <w:b/>
                <w:i/>
                <w:sz w:val="24"/>
                <w:szCs w:val="24"/>
              </w:rPr>
              <w:t>F</w:t>
            </w:r>
          </w:p>
        </w:tc>
        <w:tc>
          <w:tcPr>
            <w:tcW w:w="1620" w:type="dxa"/>
          </w:tcPr>
          <w:p w:rsidR="00890856" w:rsidRPr="00890856" w:rsidRDefault="00890856" w:rsidP="00890856">
            <w:pPr>
              <w:jc w:val="center"/>
              <w:rPr>
                <w:rFonts w:ascii="Verdana" w:hAnsi="Verdana" w:cs="Arial"/>
                <w:b/>
                <w:i/>
                <w:sz w:val="24"/>
                <w:szCs w:val="24"/>
                <w:u w:val="double"/>
              </w:rPr>
            </w:pPr>
            <w:r w:rsidRPr="00890856">
              <w:rPr>
                <w:rFonts w:ascii="Verdana" w:hAnsi="Verdana" w:cs="Arial"/>
                <w:b/>
                <w:i/>
                <w:sz w:val="24"/>
                <w:szCs w:val="24"/>
                <w:u w:val="double"/>
              </w:rPr>
              <w:t>2,915</w:t>
            </w:r>
          </w:p>
        </w:tc>
        <w:tc>
          <w:tcPr>
            <w:tcW w:w="1710" w:type="dxa"/>
          </w:tcPr>
          <w:p w:rsidR="00890856" w:rsidRPr="00890856" w:rsidRDefault="00890856" w:rsidP="00890856">
            <w:pPr>
              <w:jc w:val="center"/>
              <w:rPr>
                <w:rFonts w:ascii="Verdana" w:hAnsi="Verdana" w:cs="Arial"/>
                <w:b/>
                <w:i/>
                <w:sz w:val="24"/>
                <w:szCs w:val="24"/>
                <w:u w:val="double"/>
              </w:rPr>
            </w:pPr>
            <w:r w:rsidRPr="00890856">
              <w:rPr>
                <w:rFonts w:ascii="Verdana" w:hAnsi="Verdana" w:cs="Arial"/>
                <w:b/>
                <w:i/>
                <w:sz w:val="24"/>
                <w:szCs w:val="24"/>
                <w:u w:val="double"/>
              </w:rPr>
              <w:t>(76,840)</w:t>
            </w:r>
          </w:p>
        </w:tc>
        <w:tc>
          <w:tcPr>
            <w:tcW w:w="1638" w:type="dxa"/>
          </w:tcPr>
          <w:p w:rsidR="00890856" w:rsidRPr="00890856" w:rsidRDefault="00890856" w:rsidP="00890856">
            <w:pPr>
              <w:jc w:val="center"/>
              <w:rPr>
                <w:rFonts w:ascii="Verdana" w:hAnsi="Verdana" w:cs="Arial"/>
                <w:b/>
                <w:i/>
                <w:sz w:val="24"/>
                <w:szCs w:val="24"/>
                <w:u w:val="double"/>
              </w:rPr>
            </w:pPr>
            <w:r w:rsidRPr="00890856">
              <w:rPr>
                <w:rFonts w:ascii="Verdana" w:hAnsi="Verdana" w:cs="Arial"/>
                <w:b/>
                <w:i/>
                <w:sz w:val="24"/>
                <w:szCs w:val="24"/>
                <w:u w:val="double"/>
              </w:rPr>
              <w:t>(133,472)</w:t>
            </w:r>
          </w:p>
        </w:tc>
      </w:tr>
    </w:tbl>
    <w:p w:rsidR="00434119" w:rsidRDefault="00434119" w:rsidP="00E81155">
      <w:pPr>
        <w:rPr>
          <w:rFonts w:ascii="Verdana" w:hAnsi="Verdana" w:cs="Arial"/>
          <w:sz w:val="24"/>
          <w:szCs w:val="24"/>
        </w:rPr>
      </w:pPr>
    </w:p>
    <w:p w:rsidR="009F5DB0" w:rsidRDefault="00890856" w:rsidP="00E81155">
      <w:pPr>
        <w:rPr>
          <w:rFonts w:ascii="Verdana" w:hAnsi="Verdana" w:cs="Arial"/>
          <w:sz w:val="24"/>
          <w:szCs w:val="24"/>
        </w:rPr>
      </w:pPr>
      <w:r>
        <w:rPr>
          <w:rFonts w:ascii="Verdana" w:hAnsi="Verdana" w:cs="Arial"/>
          <w:sz w:val="24"/>
          <w:szCs w:val="24"/>
        </w:rPr>
        <w:lastRenderedPageBreak/>
        <w:t>So, when merchant payables are correctly excluded from operating cash flows, Groupon’s reported cash flow picture dims significantly.  The Company’s operations are really burning up cash, not creating it!</w:t>
      </w:r>
    </w:p>
    <w:p w:rsidR="009F5DB0" w:rsidRDefault="009F5DB0" w:rsidP="00E81155">
      <w:pPr>
        <w:rPr>
          <w:rFonts w:ascii="Verdana" w:hAnsi="Verdana" w:cs="Arial"/>
          <w:sz w:val="24"/>
          <w:szCs w:val="24"/>
        </w:rPr>
      </w:pPr>
    </w:p>
    <w:p w:rsidR="009F5DB0" w:rsidRDefault="00D22228" w:rsidP="00E81155">
      <w:pPr>
        <w:rPr>
          <w:rFonts w:ascii="Verdana" w:hAnsi="Verdana" w:cs="Arial"/>
          <w:sz w:val="24"/>
          <w:szCs w:val="24"/>
        </w:rPr>
      </w:pPr>
      <w:r>
        <w:rPr>
          <w:rFonts w:ascii="Verdana" w:hAnsi="Verdana" w:cs="Arial"/>
          <w:sz w:val="24"/>
          <w:szCs w:val="24"/>
        </w:rPr>
        <w:t>Next, we turn our attention to the Company’s income tax accounting.</w:t>
      </w:r>
      <w:r w:rsidR="004C67C7">
        <w:rPr>
          <w:rFonts w:ascii="Verdana" w:hAnsi="Verdana" w:cs="Arial"/>
          <w:sz w:val="24"/>
          <w:szCs w:val="24"/>
        </w:rPr>
        <w:t xml:space="preserve">  We find it very curious that Groupon pumped up its valuation reserve for deferred tax assets by $72.3 million (actual expense was $92 million according to </w:t>
      </w:r>
      <w:r w:rsidR="004C67C7" w:rsidRPr="004C67C7">
        <w:rPr>
          <w:rFonts w:ascii="Verdana" w:hAnsi="Verdana" w:cs="Arial"/>
          <w:sz w:val="24"/>
          <w:szCs w:val="24"/>
        </w:rPr>
        <w:t>Schedule II-Valuation and Qualifying Accounts</w:t>
      </w:r>
      <w:r w:rsidR="004C67C7">
        <w:rPr>
          <w:rFonts w:ascii="Verdana" w:hAnsi="Verdana" w:cs="Arial"/>
          <w:sz w:val="24"/>
          <w:szCs w:val="24"/>
        </w:rPr>
        <w:t xml:space="preserve">) in 2011 with little or no discussion as to why in either the MD&amp;A or the financial statement notes.  We know why!  This is </w:t>
      </w:r>
      <w:r w:rsidR="004A55FF">
        <w:rPr>
          <w:rFonts w:ascii="Verdana" w:hAnsi="Verdana" w:cs="Arial"/>
          <w:sz w:val="24"/>
          <w:szCs w:val="24"/>
        </w:rPr>
        <w:t xml:space="preserve">the </w:t>
      </w:r>
      <w:r w:rsidR="004C67C7">
        <w:rPr>
          <w:rFonts w:ascii="Verdana" w:hAnsi="Verdana" w:cs="Arial"/>
          <w:sz w:val="24"/>
          <w:szCs w:val="24"/>
        </w:rPr>
        <w:t xml:space="preserve">first of two earnings charges the Company will be forced to take since it is losing money, with no foreseeable prospects of generating taxable income against which deferred tax assets can be used.  To discuss the </w:t>
      </w:r>
      <w:r w:rsidR="00865B94">
        <w:rPr>
          <w:rFonts w:ascii="Verdana" w:hAnsi="Verdana" w:cs="Arial"/>
          <w:sz w:val="24"/>
          <w:szCs w:val="24"/>
        </w:rPr>
        <w:t xml:space="preserve">current year </w:t>
      </w:r>
      <w:r w:rsidR="004C67C7">
        <w:rPr>
          <w:rFonts w:ascii="Verdana" w:hAnsi="Verdana" w:cs="Arial"/>
          <w:sz w:val="24"/>
          <w:szCs w:val="24"/>
        </w:rPr>
        <w:t xml:space="preserve">income </w:t>
      </w:r>
      <w:r w:rsidR="00865B94">
        <w:rPr>
          <w:rFonts w:ascii="Verdana" w:hAnsi="Verdana" w:cs="Arial"/>
          <w:sz w:val="24"/>
          <w:szCs w:val="24"/>
        </w:rPr>
        <w:t xml:space="preserve">tax </w:t>
      </w:r>
      <w:r w:rsidR="004C67C7">
        <w:rPr>
          <w:rFonts w:ascii="Verdana" w:hAnsi="Verdana" w:cs="Arial"/>
          <w:sz w:val="24"/>
          <w:szCs w:val="24"/>
        </w:rPr>
        <w:t>charge, the Company would have</w:t>
      </w:r>
      <w:r w:rsidR="00865B94">
        <w:rPr>
          <w:rFonts w:ascii="Verdana" w:hAnsi="Verdana" w:cs="Arial"/>
          <w:sz w:val="24"/>
          <w:szCs w:val="24"/>
        </w:rPr>
        <w:t xml:space="preserve"> had</w:t>
      </w:r>
      <w:r w:rsidR="004C67C7">
        <w:rPr>
          <w:rFonts w:ascii="Verdana" w:hAnsi="Verdana" w:cs="Arial"/>
          <w:sz w:val="24"/>
          <w:szCs w:val="24"/>
        </w:rPr>
        <w:t xml:space="preserve"> to admit how bleak its future prospects are!  Ceteris paribus, next year’s income tax asset valuation adjustment will be $</w:t>
      </w:r>
      <w:r w:rsidR="004C67C7" w:rsidRPr="004C67C7">
        <w:rPr>
          <w:rFonts w:ascii="Verdana" w:hAnsi="Verdana" w:cs="Arial"/>
          <w:sz w:val="24"/>
          <w:szCs w:val="24"/>
        </w:rPr>
        <w:t>11</w:t>
      </w:r>
      <w:r w:rsidR="004C67C7">
        <w:rPr>
          <w:rFonts w:ascii="Verdana" w:hAnsi="Verdana" w:cs="Arial"/>
          <w:sz w:val="24"/>
          <w:szCs w:val="24"/>
        </w:rPr>
        <w:t>2.9 million, i.e., 2011’s net deferred tax assets.</w:t>
      </w:r>
    </w:p>
    <w:p w:rsidR="00D22228" w:rsidRDefault="00D22228" w:rsidP="00E81155">
      <w:pPr>
        <w:rPr>
          <w:rFonts w:ascii="Verdana" w:hAnsi="Verdana" w:cs="Arial"/>
          <w:sz w:val="24"/>
          <w:szCs w:val="24"/>
        </w:rPr>
      </w:pPr>
    </w:p>
    <w:p w:rsidR="00D22228" w:rsidRDefault="00CB71AB" w:rsidP="00E81155">
      <w:pPr>
        <w:rPr>
          <w:rFonts w:ascii="Verdana" w:hAnsi="Verdana" w:cs="Arial"/>
          <w:sz w:val="24"/>
          <w:szCs w:val="24"/>
        </w:rPr>
      </w:pPr>
      <w:r>
        <w:rPr>
          <w:rFonts w:ascii="Verdana" w:hAnsi="Verdana" w:cs="Arial"/>
          <w:sz w:val="24"/>
          <w:szCs w:val="24"/>
        </w:rPr>
        <w:t xml:space="preserve">What does Groupon do if its own operations are losing money?  Invest actively in other losing ventures, of course.  In 2011, the Company’s two new equity method investments, </w:t>
      </w:r>
      <w:r w:rsidRPr="00CB71AB">
        <w:rPr>
          <w:rFonts w:ascii="Verdana" w:hAnsi="Verdana" w:cs="Arial"/>
          <w:sz w:val="24"/>
          <w:szCs w:val="24"/>
        </w:rPr>
        <w:t>Restaurantdiary.com</w:t>
      </w:r>
      <w:r>
        <w:rPr>
          <w:rFonts w:ascii="Verdana" w:hAnsi="Verdana" w:cs="Arial"/>
          <w:sz w:val="24"/>
          <w:szCs w:val="24"/>
        </w:rPr>
        <w:t xml:space="preserve"> and </w:t>
      </w:r>
      <w:r w:rsidRPr="00CB71AB">
        <w:rPr>
          <w:rFonts w:ascii="Verdana" w:hAnsi="Verdana" w:cs="Arial"/>
          <w:sz w:val="24"/>
          <w:szCs w:val="24"/>
        </w:rPr>
        <w:t>GaoPeng.com</w:t>
      </w:r>
      <w:r>
        <w:rPr>
          <w:rFonts w:ascii="Verdana" w:hAnsi="Verdana" w:cs="Arial"/>
          <w:sz w:val="24"/>
          <w:szCs w:val="24"/>
        </w:rPr>
        <w:t>, added $26.7 million in losses.  These are worth mentioning because if Groupon held true to form with its international acquisitions, it also paid an excess premium (goodwill) for these two, which GAAP allows to be “buried” in the $50.6 million investment reported on the balance sheet.  Given the operating losses of these two investments, can an investment impairment charge be far behind?</w:t>
      </w:r>
    </w:p>
    <w:p w:rsidR="00CB71AB" w:rsidRDefault="00CB71AB" w:rsidP="00E81155">
      <w:pPr>
        <w:rPr>
          <w:rFonts w:ascii="Verdana" w:hAnsi="Verdana" w:cs="Arial"/>
          <w:sz w:val="24"/>
          <w:szCs w:val="24"/>
        </w:rPr>
      </w:pPr>
    </w:p>
    <w:p w:rsidR="009C120F" w:rsidRDefault="009C120F" w:rsidP="00E81155">
      <w:pPr>
        <w:rPr>
          <w:rFonts w:ascii="Verdana" w:hAnsi="Verdana" w:cs="Arial"/>
          <w:sz w:val="24"/>
          <w:szCs w:val="24"/>
        </w:rPr>
      </w:pPr>
      <w:r>
        <w:rPr>
          <w:rFonts w:ascii="Verdana" w:hAnsi="Verdana" w:cs="Arial"/>
          <w:sz w:val="24"/>
          <w:szCs w:val="24"/>
        </w:rPr>
        <w:t xml:space="preserve">Let’ now turn to leases and purchase obligations.  As so many companies do, Groupon hides behind feckless GAAP standards that allow the debts to be off-balance sheet.  We shall adjust the balance sheet and the income statement to report these liabilities properly.  (See </w:t>
      </w:r>
      <w:hyperlink r:id="rId10" w:history="1">
        <w:r w:rsidRPr="009C120F">
          <w:rPr>
            <w:rStyle w:val="Hyperlink"/>
            <w:rFonts w:ascii="Verdana" w:hAnsi="Verdana" w:cs="Arial"/>
            <w:sz w:val="24"/>
            <w:szCs w:val="24"/>
          </w:rPr>
          <w:t>CVS CareMark</w:t>
        </w:r>
      </w:hyperlink>
      <w:r>
        <w:rPr>
          <w:rFonts w:ascii="Verdana" w:hAnsi="Verdana" w:cs="Arial"/>
          <w:sz w:val="24"/>
          <w:szCs w:val="24"/>
        </w:rPr>
        <w:t xml:space="preserve"> for </w:t>
      </w:r>
      <w:r w:rsidR="00C90AFD">
        <w:rPr>
          <w:rFonts w:ascii="Verdana" w:hAnsi="Verdana" w:cs="Arial"/>
          <w:sz w:val="24"/>
          <w:szCs w:val="24"/>
        </w:rPr>
        <w:t xml:space="preserve">an example of </w:t>
      </w:r>
      <w:r>
        <w:rPr>
          <w:rFonts w:ascii="Verdana" w:hAnsi="Verdana" w:cs="Arial"/>
          <w:sz w:val="24"/>
          <w:szCs w:val="24"/>
        </w:rPr>
        <w:t xml:space="preserve">how to do this.)  </w:t>
      </w:r>
      <w:r w:rsidR="00C90AFD">
        <w:rPr>
          <w:rFonts w:ascii="Verdana" w:hAnsi="Verdana" w:cs="Arial"/>
          <w:sz w:val="24"/>
          <w:szCs w:val="24"/>
        </w:rPr>
        <w:t>These adjustments add $135 million to the liabilities of the firm.  It reduces income by $4 million and retained earnings by almost $35 million (the additional amounts are due to prior year effects).</w:t>
      </w:r>
    </w:p>
    <w:p w:rsidR="00C90AFD" w:rsidRDefault="00C90AFD" w:rsidP="00E81155">
      <w:pPr>
        <w:rPr>
          <w:rFonts w:ascii="Verdana" w:hAnsi="Verdana" w:cs="Arial"/>
          <w:sz w:val="24"/>
          <w:szCs w:val="24"/>
        </w:rPr>
      </w:pPr>
    </w:p>
    <w:p w:rsidR="00C90AFD" w:rsidRDefault="000B7456" w:rsidP="00E81155">
      <w:pPr>
        <w:rPr>
          <w:rFonts w:ascii="Verdana" w:hAnsi="Verdana" w:cs="Arial"/>
          <w:sz w:val="24"/>
          <w:szCs w:val="24"/>
        </w:rPr>
      </w:pPr>
      <w:r>
        <w:rPr>
          <w:rFonts w:ascii="Verdana" w:hAnsi="Verdana" w:cs="Arial"/>
          <w:sz w:val="24"/>
          <w:szCs w:val="24"/>
        </w:rPr>
        <w:t>If we put together the capitalization of the lease obligations and the purchase obligations and the goodwill impairment that we think Groupon should acknowledge, we can recast the balance sheet as follows (again, Groupon managers should love the adjustment process!):</w:t>
      </w:r>
    </w:p>
    <w:p w:rsidR="000B7456" w:rsidRDefault="000B7456" w:rsidP="00E81155">
      <w:pPr>
        <w:rPr>
          <w:rFonts w:ascii="Verdana" w:hAnsi="Verdana" w:cs="Arial"/>
          <w:sz w:val="24"/>
          <w:szCs w:val="24"/>
        </w:rPr>
      </w:pPr>
    </w:p>
    <w:p w:rsidR="007E434F" w:rsidRDefault="007E434F">
      <w:pPr>
        <w:rPr>
          <w:rFonts w:ascii="Verdana" w:hAnsi="Verdana" w:cs="Arial"/>
          <w:sz w:val="24"/>
          <w:szCs w:val="24"/>
        </w:rPr>
      </w:pPr>
      <w:r>
        <w:rPr>
          <w:rFonts w:ascii="Verdana" w:hAnsi="Verdana" w:cs="Arial"/>
          <w:sz w:val="24"/>
          <w:szCs w:val="24"/>
        </w:rPr>
        <w:br w:type="page"/>
      </w:r>
    </w:p>
    <w:p w:rsidR="007E434F" w:rsidRDefault="007E434F" w:rsidP="00E81155">
      <w:pPr>
        <w:rPr>
          <w:rFonts w:ascii="Verdana" w:hAnsi="Verdana"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2046"/>
        <w:gridCol w:w="2070"/>
      </w:tblGrid>
      <w:tr w:rsidR="000B7456" w:rsidTr="00C50F7C">
        <w:trPr>
          <w:jc w:val="center"/>
        </w:trPr>
        <w:tc>
          <w:tcPr>
            <w:tcW w:w="3192" w:type="dxa"/>
          </w:tcPr>
          <w:p w:rsidR="000B7456" w:rsidRDefault="000B7456" w:rsidP="00E81155">
            <w:pPr>
              <w:rPr>
                <w:rFonts w:ascii="Verdana" w:hAnsi="Verdana" w:cs="Arial"/>
                <w:sz w:val="24"/>
                <w:szCs w:val="24"/>
              </w:rPr>
            </w:pPr>
          </w:p>
        </w:tc>
        <w:tc>
          <w:tcPr>
            <w:tcW w:w="2046" w:type="dxa"/>
          </w:tcPr>
          <w:p w:rsidR="000B7456" w:rsidRPr="002C3701" w:rsidRDefault="007E434F" w:rsidP="007E434F">
            <w:pPr>
              <w:jc w:val="center"/>
              <w:rPr>
                <w:rFonts w:ascii="Verdana" w:hAnsi="Verdana" w:cs="Arial"/>
                <w:b/>
                <w:sz w:val="24"/>
                <w:szCs w:val="24"/>
                <w:u w:val="single"/>
              </w:rPr>
            </w:pPr>
            <w:r w:rsidRPr="002C3701">
              <w:rPr>
                <w:rFonts w:ascii="Verdana" w:hAnsi="Verdana" w:cs="Arial"/>
                <w:b/>
                <w:sz w:val="24"/>
                <w:szCs w:val="24"/>
                <w:u w:val="single"/>
              </w:rPr>
              <w:t>As reported</w:t>
            </w:r>
          </w:p>
        </w:tc>
        <w:tc>
          <w:tcPr>
            <w:tcW w:w="2070" w:type="dxa"/>
          </w:tcPr>
          <w:p w:rsidR="000B7456" w:rsidRPr="002C3701" w:rsidRDefault="007E434F" w:rsidP="007E434F">
            <w:pPr>
              <w:jc w:val="center"/>
              <w:rPr>
                <w:rFonts w:ascii="Verdana" w:hAnsi="Verdana" w:cs="Arial"/>
                <w:b/>
                <w:sz w:val="24"/>
                <w:szCs w:val="24"/>
                <w:u w:val="single"/>
              </w:rPr>
            </w:pPr>
            <w:r w:rsidRPr="002C3701">
              <w:rPr>
                <w:rFonts w:ascii="Verdana" w:hAnsi="Verdana" w:cs="Arial"/>
                <w:b/>
                <w:sz w:val="24"/>
                <w:szCs w:val="24"/>
                <w:u w:val="single"/>
              </w:rPr>
              <w:t>As adjusted</w:t>
            </w:r>
          </w:p>
        </w:tc>
      </w:tr>
      <w:tr w:rsidR="000B7456" w:rsidTr="00C50F7C">
        <w:trPr>
          <w:jc w:val="center"/>
        </w:trPr>
        <w:tc>
          <w:tcPr>
            <w:tcW w:w="3192" w:type="dxa"/>
          </w:tcPr>
          <w:p w:rsidR="000B7456" w:rsidRDefault="007E434F" w:rsidP="00E81155">
            <w:pPr>
              <w:rPr>
                <w:rFonts w:ascii="Verdana" w:hAnsi="Verdana" w:cs="Arial"/>
                <w:sz w:val="24"/>
                <w:szCs w:val="24"/>
              </w:rPr>
            </w:pPr>
            <w:r>
              <w:rPr>
                <w:rFonts w:ascii="Verdana" w:hAnsi="Verdana" w:cs="Arial"/>
                <w:sz w:val="24"/>
                <w:szCs w:val="24"/>
              </w:rPr>
              <w:t>Current assets</w:t>
            </w:r>
          </w:p>
        </w:tc>
        <w:tc>
          <w:tcPr>
            <w:tcW w:w="2046" w:type="dxa"/>
          </w:tcPr>
          <w:p w:rsidR="000B7456" w:rsidRPr="007E434F" w:rsidRDefault="007E434F" w:rsidP="00E81155">
            <w:pPr>
              <w:rPr>
                <w:rFonts w:ascii="Courier New" w:hAnsi="Courier New" w:cs="Courier New"/>
                <w:sz w:val="24"/>
                <w:szCs w:val="24"/>
              </w:rPr>
            </w:pPr>
            <w:r>
              <w:rPr>
                <w:rFonts w:ascii="Courier New" w:hAnsi="Courier New" w:cs="Courier New"/>
                <w:sz w:val="24"/>
                <w:szCs w:val="24"/>
              </w:rPr>
              <w:t xml:space="preserve"> $1,323,327</w:t>
            </w:r>
          </w:p>
        </w:tc>
        <w:tc>
          <w:tcPr>
            <w:tcW w:w="2070" w:type="dxa"/>
          </w:tcPr>
          <w:p w:rsidR="000B7456" w:rsidRPr="007E434F" w:rsidRDefault="00A63E63" w:rsidP="00E81155">
            <w:pPr>
              <w:rPr>
                <w:rFonts w:ascii="Courier New" w:hAnsi="Courier New" w:cs="Courier New"/>
                <w:sz w:val="24"/>
                <w:szCs w:val="24"/>
              </w:rPr>
            </w:pPr>
            <w:r>
              <w:rPr>
                <w:rFonts w:ascii="Courier New" w:hAnsi="Courier New" w:cs="Courier New"/>
                <w:sz w:val="24"/>
                <w:szCs w:val="24"/>
              </w:rPr>
              <w:t xml:space="preserve"> </w:t>
            </w:r>
            <w:r w:rsidR="007E434F">
              <w:rPr>
                <w:rFonts w:ascii="Courier New" w:hAnsi="Courier New" w:cs="Courier New"/>
                <w:sz w:val="24"/>
                <w:szCs w:val="24"/>
              </w:rPr>
              <w:t>$1,323,327</w:t>
            </w:r>
          </w:p>
        </w:tc>
      </w:tr>
      <w:tr w:rsidR="000B7456" w:rsidTr="00C50F7C">
        <w:trPr>
          <w:jc w:val="center"/>
        </w:trPr>
        <w:tc>
          <w:tcPr>
            <w:tcW w:w="3192" w:type="dxa"/>
          </w:tcPr>
          <w:p w:rsidR="000B7456" w:rsidRDefault="007E434F" w:rsidP="00E81155">
            <w:pPr>
              <w:rPr>
                <w:rFonts w:ascii="Verdana" w:hAnsi="Verdana" w:cs="Arial"/>
                <w:sz w:val="24"/>
                <w:szCs w:val="24"/>
              </w:rPr>
            </w:pPr>
            <w:r>
              <w:rPr>
                <w:rFonts w:ascii="Verdana" w:hAnsi="Verdana" w:cs="Arial"/>
                <w:sz w:val="24"/>
                <w:szCs w:val="24"/>
              </w:rPr>
              <w:t>Property and equipment</w:t>
            </w:r>
          </w:p>
        </w:tc>
        <w:tc>
          <w:tcPr>
            <w:tcW w:w="2046" w:type="dxa"/>
          </w:tcPr>
          <w:p w:rsidR="000B7456" w:rsidRPr="007E434F" w:rsidRDefault="007E434F" w:rsidP="00E81155">
            <w:pPr>
              <w:rPr>
                <w:rFonts w:ascii="Courier New" w:hAnsi="Courier New" w:cs="Courier New"/>
                <w:sz w:val="24"/>
                <w:szCs w:val="24"/>
                <w:u w:val="single"/>
              </w:rPr>
            </w:pPr>
            <w:r>
              <w:rPr>
                <w:rFonts w:ascii="Courier New" w:hAnsi="Courier New" w:cs="Courier New"/>
                <w:sz w:val="24"/>
                <w:szCs w:val="24"/>
              </w:rPr>
              <w:t xml:space="preserve">  </w:t>
            </w:r>
            <w:r w:rsidRPr="007E434F">
              <w:rPr>
                <w:rFonts w:ascii="Courier New" w:hAnsi="Courier New" w:cs="Courier New"/>
                <w:sz w:val="24"/>
                <w:szCs w:val="24"/>
                <w:u w:val="single"/>
              </w:rPr>
              <w:t xml:space="preserve">  451,149</w:t>
            </w:r>
          </w:p>
        </w:tc>
        <w:tc>
          <w:tcPr>
            <w:tcW w:w="2070" w:type="dxa"/>
          </w:tcPr>
          <w:p w:rsidR="000B7456" w:rsidRPr="00A63E63" w:rsidRDefault="00A63E63" w:rsidP="00E81155">
            <w:pPr>
              <w:rPr>
                <w:rFonts w:ascii="Courier New" w:hAnsi="Courier New" w:cs="Courier New"/>
                <w:sz w:val="24"/>
                <w:szCs w:val="24"/>
                <w:u w:val="single"/>
              </w:rPr>
            </w:pPr>
            <w:r>
              <w:rPr>
                <w:rFonts w:ascii="Courier New" w:hAnsi="Courier New" w:cs="Courier New"/>
                <w:sz w:val="24"/>
                <w:szCs w:val="24"/>
              </w:rPr>
              <w:t xml:space="preserve">  </w:t>
            </w:r>
            <w:r w:rsidRPr="00A63E63">
              <w:rPr>
                <w:rFonts w:ascii="Courier New" w:hAnsi="Courier New" w:cs="Courier New"/>
                <w:sz w:val="24"/>
                <w:szCs w:val="24"/>
                <w:u w:val="single"/>
              </w:rPr>
              <w:t xml:space="preserve">  </w:t>
            </w:r>
            <w:r w:rsidR="007E434F" w:rsidRPr="00A63E63">
              <w:rPr>
                <w:rFonts w:ascii="Courier New" w:hAnsi="Courier New" w:cs="Courier New"/>
                <w:sz w:val="24"/>
                <w:szCs w:val="24"/>
                <w:u w:val="single"/>
              </w:rPr>
              <w:t>427,429</w:t>
            </w:r>
          </w:p>
        </w:tc>
      </w:tr>
      <w:tr w:rsidR="000B7456" w:rsidTr="00C50F7C">
        <w:trPr>
          <w:jc w:val="center"/>
        </w:trPr>
        <w:tc>
          <w:tcPr>
            <w:tcW w:w="3192" w:type="dxa"/>
          </w:tcPr>
          <w:p w:rsidR="000B7456" w:rsidRDefault="007E434F" w:rsidP="00E81155">
            <w:pPr>
              <w:rPr>
                <w:rFonts w:ascii="Verdana" w:hAnsi="Verdana" w:cs="Arial"/>
                <w:sz w:val="24"/>
                <w:szCs w:val="24"/>
              </w:rPr>
            </w:pPr>
            <w:r>
              <w:rPr>
                <w:rFonts w:ascii="Verdana" w:hAnsi="Verdana" w:cs="Arial"/>
                <w:sz w:val="24"/>
                <w:szCs w:val="24"/>
              </w:rPr>
              <w:t>Total assets</w:t>
            </w:r>
          </w:p>
        </w:tc>
        <w:tc>
          <w:tcPr>
            <w:tcW w:w="2046" w:type="dxa"/>
          </w:tcPr>
          <w:p w:rsidR="000B7456" w:rsidRPr="007E434F" w:rsidRDefault="007E434F" w:rsidP="00E81155">
            <w:pPr>
              <w:rPr>
                <w:rFonts w:ascii="Courier New" w:hAnsi="Courier New" w:cs="Courier New"/>
                <w:sz w:val="24"/>
                <w:szCs w:val="24"/>
              </w:rPr>
            </w:pPr>
            <w:r>
              <w:rPr>
                <w:rFonts w:ascii="Courier New" w:hAnsi="Courier New" w:cs="Courier New"/>
                <w:sz w:val="24"/>
                <w:szCs w:val="24"/>
              </w:rPr>
              <w:t xml:space="preserve"> $</w:t>
            </w:r>
            <w:r w:rsidRPr="007E434F">
              <w:rPr>
                <w:rFonts w:ascii="Courier New" w:hAnsi="Courier New" w:cs="Courier New"/>
                <w:sz w:val="24"/>
                <w:szCs w:val="24"/>
                <w:u w:val="double"/>
              </w:rPr>
              <w:t>1,774,476</w:t>
            </w:r>
          </w:p>
        </w:tc>
        <w:tc>
          <w:tcPr>
            <w:tcW w:w="2070" w:type="dxa"/>
          </w:tcPr>
          <w:p w:rsidR="000B7456" w:rsidRPr="007E434F" w:rsidRDefault="00A63E63" w:rsidP="00E81155">
            <w:pPr>
              <w:rPr>
                <w:rFonts w:ascii="Courier New" w:hAnsi="Courier New" w:cs="Courier New"/>
                <w:sz w:val="24"/>
                <w:szCs w:val="24"/>
              </w:rPr>
            </w:pPr>
            <w:r>
              <w:rPr>
                <w:rFonts w:ascii="Courier New" w:hAnsi="Courier New" w:cs="Courier New"/>
                <w:sz w:val="24"/>
                <w:szCs w:val="24"/>
              </w:rPr>
              <w:t xml:space="preserve"> </w:t>
            </w:r>
            <w:r w:rsidR="007E434F">
              <w:rPr>
                <w:rFonts w:ascii="Courier New" w:hAnsi="Courier New" w:cs="Courier New"/>
                <w:sz w:val="24"/>
                <w:szCs w:val="24"/>
              </w:rPr>
              <w:t>$</w:t>
            </w:r>
            <w:r w:rsidR="007E434F" w:rsidRPr="00A63E63">
              <w:rPr>
                <w:rFonts w:ascii="Courier New" w:hAnsi="Courier New" w:cs="Courier New"/>
                <w:sz w:val="24"/>
                <w:szCs w:val="24"/>
                <w:u w:val="double"/>
              </w:rPr>
              <w:t>1,750,756</w:t>
            </w:r>
          </w:p>
        </w:tc>
      </w:tr>
      <w:tr w:rsidR="007E434F" w:rsidTr="00C50F7C">
        <w:trPr>
          <w:jc w:val="center"/>
        </w:trPr>
        <w:tc>
          <w:tcPr>
            <w:tcW w:w="3192" w:type="dxa"/>
          </w:tcPr>
          <w:p w:rsidR="007E434F" w:rsidRDefault="007E434F" w:rsidP="00E81155">
            <w:pPr>
              <w:rPr>
                <w:rFonts w:ascii="Verdana" w:hAnsi="Verdana" w:cs="Arial"/>
                <w:sz w:val="24"/>
                <w:szCs w:val="24"/>
              </w:rPr>
            </w:pPr>
          </w:p>
        </w:tc>
        <w:tc>
          <w:tcPr>
            <w:tcW w:w="2046" w:type="dxa"/>
          </w:tcPr>
          <w:p w:rsidR="007E434F" w:rsidRPr="007E434F" w:rsidRDefault="007E434F" w:rsidP="00E81155">
            <w:pPr>
              <w:rPr>
                <w:rFonts w:ascii="Courier New" w:hAnsi="Courier New" w:cs="Courier New"/>
                <w:sz w:val="24"/>
                <w:szCs w:val="24"/>
              </w:rPr>
            </w:pPr>
          </w:p>
        </w:tc>
        <w:tc>
          <w:tcPr>
            <w:tcW w:w="2070" w:type="dxa"/>
          </w:tcPr>
          <w:p w:rsidR="007E434F" w:rsidRPr="007E434F" w:rsidRDefault="007E434F" w:rsidP="00E81155">
            <w:pPr>
              <w:rPr>
                <w:rFonts w:ascii="Courier New" w:hAnsi="Courier New" w:cs="Courier New"/>
                <w:sz w:val="24"/>
                <w:szCs w:val="24"/>
              </w:rPr>
            </w:pPr>
          </w:p>
        </w:tc>
      </w:tr>
      <w:tr w:rsidR="007E434F" w:rsidTr="00C50F7C">
        <w:trPr>
          <w:jc w:val="center"/>
        </w:trPr>
        <w:tc>
          <w:tcPr>
            <w:tcW w:w="3192" w:type="dxa"/>
          </w:tcPr>
          <w:p w:rsidR="007E434F" w:rsidRDefault="007E434F" w:rsidP="00E81155">
            <w:pPr>
              <w:rPr>
                <w:rFonts w:ascii="Verdana" w:hAnsi="Verdana" w:cs="Arial"/>
                <w:sz w:val="24"/>
                <w:szCs w:val="24"/>
              </w:rPr>
            </w:pPr>
            <w:r>
              <w:rPr>
                <w:rFonts w:ascii="Verdana" w:hAnsi="Verdana" w:cs="Arial"/>
                <w:sz w:val="24"/>
                <w:szCs w:val="24"/>
              </w:rPr>
              <w:t>Current debts</w:t>
            </w:r>
          </w:p>
        </w:tc>
        <w:tc>
          <w:tcPr>
            <w:tcW w:w="2046" w:type="dxa"/>
          </w:tcPr>
          <w:p w:rsidR="007E434F" w:rsidRPr="007E434F" w:rsidRDefault="007E434F" w:rsidP="00E81155">
            <w:pPr>
              <w:rPr>
                <w:rFonts w:ascii="Courier New" w:hAnsi="Courier New" w:cs="Courier New"/>
                <w:sz w:val="24"/>
                <w:szCs w:val="24"/>
              </w:rPr>
            </w:pPr>
            <w:r>
              <w:rPr>
                <w:rFonts w:ascii="Courier New" w:hAnsi="Courier New" w:cs="Courier New"/>
                <w:sz w:val="24"/>
                <w:szCs w:val="24"/>
              </w:rPr>
              <w:t xml:space="preserve"> $  995,162</w:t>
            </w:r>
          </w:p>
        </w:tc>
        <w:tc>
          <w:tcPr>
            <w:tcW w:w="2070" w:type="dxa"/>
          </w:tcPr>
          <w:p w:rsidR="007E434F" w:rsidRPr="007E434F" w:rsidRDefault="00A63E63" w:rsidP="00E81155">
            <w:pPr>
              <w:rPr>
                <w:rFonts w:ascii="Courier New" w:hAnsi="Courier New" w:cs="Courier New"/>
                <w:sz w:val="24"/>
                <w:szCs w:val="24"/>
              </w:rPr>
            </w:pPr>
            <w:r>
              <w:rPr>
                <w:rFonts w:ascii="Courier New" w:hAnsi="Courier New" w:cs="Courier New"/>
                <w:sz w:val="24"/>
                <w:szCs w:val="24"/>
              </w:rPr>
              <w:t xml:space="preserve"> $1,035,211</w:t>
            </w:r>
          </w:p>
        </w:tc>
      </w:tr>
      <w:tr w:rsidR="000B7456" w:rsidTr="00C50F7C">
        <w:trPr>
          <w:jc w:val="center"/>
        </w:trPr>
        <w:tc>
          <w:tcPr>
            <w:tcW w:w="3192" w:type="dxa"/>
          </w:tcPr>
          <w:p w:rsidR="000B7456" w:rsidRDefault="007E434F" w:rsidP="00E81155">
            <w:pPr>
              <w:rPr>
                <w:rFonts w:ascii="Verdana" w:hAnsi="Verdana" w:cs="Arial"/>
                <w:sz w:val="24"/>
                <w:szCs w:val="24"/>
              </w:rPr>
            </w:pPr>
            <w:r>
              <w:rPr>
                <w:rFonts w:ascii="Verdana" w:hAnsi="Verdana" w:cs="Arial"/>
                <w:sz w:val="24"/>
                <w:szCs w:val="24"/>
              </w:rPr>
              <w:t>Long-term debts</w:t>
            </w:r>
          </w:p>
        </w:tc>
        <w:tc>
          <w:tcPr>
            <w:tcW w:w="2046" w:type="dxa"/>
          </w:tcPr>
          <w:p w:rsidR="000B7456" w:rsidRPr="007E434F" w:rsidRDefault="007E434F" w:rsidP="00E81155">
            <w:pPr>
              <w:rPr>
                <w:rFonts w:ascii="Courier New" w:hAnsi="Courier New" w:cs="Courier New"/>
                <w:sz w:val="24"/>
                <w:szCs w:val="24"/>
              </w:rPr>
            </w:pPr>
            <w:r>
              <w:rPr>
                <w:rFonts w:ascii="Courier New" w:hAnsi="Courier New" w:cs="Courier New"/>
                <w:sz w:val="24"/>
                <w:szCs w:val="24"/>
              </w:rPr>
              <w:t xml:space="preserve">     78,194</w:t>
            </w:r>
          </w:p>
        </w:tc>
        <w:tc>
          <w:tcPr>
            <w:tcW w:w="2070" w:type="dxa"/>
          </w:tcPr>
          <w:p w:rsidR="000B7456" w:rsidRPr="007E434F" w:rsidRDefault="00A63E63" w:rsidP="00E81155">
            <w:pPr>
              <w:rPr>
                <w:rFonts w:ascii="Courier New" w:hAnsi="Courier New" w:cs="Courier New"/>
                <w:sz w:val="24"/>
                <w:szCs w:val="24"/>
              </w:rPr>
            </w:pPr>
            <w:r>
              <w:rPr>
                <w:rFonts w:ascii="Courier New" w:hAnsi="Courier New" w:cs="Courier New"/>
                <w:sz w:val="24"/>
                <w:szCs w:val="24"/>
              </w:rPr>
              <w:t xml:space="preserve">    175,433</w:t>
            </w:r>
          </w:p>
        </w:tc>
      </w:tr>
      <w:tr w:rsidR="007E434F" w:rsidTr="00C50F7C">
        <w:trPr>
          <w:jc w:val="center"/>
        </w:trPr>
        <w:tc>
          <w:tcPr>
            <w:tcW w:w="3192" w:type="dxa"/>
          </w:tcPr>
          <w:p w:rsidR="007E434F" w:rsidRDefault="007E434F" w:rsidP="00E81155">
            <w:pPr>
              <w:rPr>
                <w:rFonts w:ascii="Verdana" w:hAnsi="Verdana" w:cs="Arial"/>
                <w:sz w:val="24"/>
                <w:szCs w:val="24"/>
              </w:rPr>
            </w:pPr>
            <w:r>
              <w:rPr>
                <w:rFonts w:ascii="Verdana" w:hAnsi="Verdana" w:cs="Arial"/>
                <w:sz w:val="24"/>
                <w:szCs w:val="24"/>
              </w:rPr>
              <w:t>Shareholders’ equity</w:t>
            </w:r>
          </w:p>
        </w:tc>
        <w:tc>
          <w:tcPr>
            <w:tcW w:w="2046" w:type="dxa"/>
          </w:tcPr>
          <w:p w:rsidR="007E434F" w:rsidRPr="007E434F" w:rsidRDefault="007E434F" w:rsidP="007E434F">
            <w:pPr>
              <w:rPr>
                <w:rFonts w:ascii="Courier New" w:hAnsi="Courier New" w:cs="Courier New"/>
                <w:sz w:val="24"/>
                <w:szCs w:val="24"/>
                <w:u w:val="single"/>
              </w:rPr>
            </w:pPr>
            <w:r>
              <w:rPr>
                <w:rFonts w:ascii="Courier New" w:hAnsi="Courier New" w:cs="Courier New"/>
                <w:sz w:val="24"/>
                <w:szCs w:val="24"/>
              </w:rPr>
              <w:t xml:space="preserve">  </w:t>
            </w:r>
            <w:r w:rsidRPr="007E434F">
              <w:rPr>
                <w:rFonts w:ascii="Courier New" w:hAnsi="Courier New" w:cs="Courier New"/>
                <w:sz w:val="24"/>
                <w:szCs w:val="24"/>
                <w:u w:val="single"/>
              </w:rPr>
              <w:t xml:space="preserve">  701,120</w:t>
            </w:r>
          </w:p>
        </w:tc>
        <w:tc>
          <w:tcPr>
            <w:tcW w:w="2070" w:type="dxa"/>
          </w:tcPr>
          <w:p w:rsidR="007E434F" w:rsidRPr="00A63E63" w:rsidRDefault="00A63E63" w:rsidP="00E81155">
            <w:pPr>
              <w:rPr>
                <w:rFonts w:ascii="Courier New" w:hAnsi="Courier New" w:cs="Courier New"/>
                <w:sz w:val="24"/>
                <w:szCs w:val="24"/>
                <w:u w:val="single"/>
              </w:rPr>
            </w:pPr>
            <w:r>
              <w:rPr>
                <w:rFonts w:ascii="Courier New" w:hAnsi="Courier New" w:cs="Courier New"/>
                <w:sz w:val="24"/>
                <w:szCs w:val="24"/>
              </w:rPr>
              <w:t xml:space="preserve">  </w:t>
            </w:r>
            <w:r w:rsidRPr="00A63E63">
              <w:rPr>
                <w:rFonts w:ascii="Courier New" w:hAnsi="Courier New" w:cs="Courier New"/>
                <w:sz w:val="24"/>
                <w:szCs w:val="24"/>
                <w:u w:val="single"/>
              </w:rPr>
              <w:t xml:space="preserve">  540,112</w:t>
            </w:r>
          </w:p>
        </w:tc>
      </w:tr>
      <w:tr w:rsidR="000B7456" w:rsidTr="00C50F7C">
        <w:trPr>
          <w:jc w:val="center"/>
        </w:trPr>
        <w:tc>
          <w:tcPr>
            <w:tcW w:w="3192" w:type="dxa"/>
          </w:tcPr>
          <w:p w:rsidR="000B7456" w:rsidRDefault="007E434F" w:rsidP="00E81155">
            <w:pPr>
              <w:rPr>
                <w:rFonts w:ascii="Verdana" w:hAnsi="Verdana" w:cs="Arial"/>
                <w:sz w:val="24"/>
                <w:szCs w:val="24"/>
              </w:rPr>
            </w:pPr>
            <w:r>
              <w:rPr>
                <w:rFonts w:ascii="Verdana" w:hAnsi="Verdana" w:cs="Arial"/>
                <w:sz w:val="24"/>
                <w:szCs w:val="24"/>
              </w:rPr>
              <w:t>Total equities</w:t>
            </w:r>
          </w:p>
        </w:tc>
        <w:tc>
          <w:tcPr>
            <w:tcW w:w="2046" w:type="dxa"/>
          </w:tcPr>
          <w:p w:rsidR="000B7456" w:rsidRPr="007E434F" w:rsidRDefault="007E434F" w:rsidP="00E81155">
            <w:pPr>
              <w:rPr>
                <w:rFonts w:ascii="Courier New" w:hAnsi="Courier New" w:cs="Courier New"/>
                <w:sz w:val="24"/>
                <w:szCs w:val="24"/>
              </w:rPr>
            </w:pPr>
            <w:r>
              <w:rPr>
                <w:rFonts w:ascii="Courier New" w:hAnsi="Courier New" w:cs="Courier New"/>
                <w:sz w:val="24"/>
                <w:szCs w:val="24"/>
              </w:rPr>
              <w:t xml:space="preserve"> $</w:t>
            </w:r>
            <w:r w:rsidRPr="007E434F">
              <w:rPr>
                <w:rFonts w:ascii="Courier New" w:hAnsi="Courier New" w:cs="Courier New"/>
                <w:sz w:val="24"/>
                <w:szCs w:val="24"/>
                <w:u w:val="double"/>
              </w:rPr>
              <w:t>1,774,476</w:t>
            </w:r>
          </w:p>
        </w:tc>
        <w:tc>
          <w:tcPr>
            <w:tcW w:w="2070" w:type="dxa"/>
          </w:tcPr>
          <w:p w:rsidR="000B7456" w:rsidRPr="007E434F" w:rsidRDefault="00A63E63" w:rsidP="00E81155">
            <w:pPr>
              <w:rPr>
                <w:rFonts w:ascii="Courier New" w:hAnsi="Courier New" w:cs="Courier New"/>
                <w:sz w:val="24"/>
                <w:szCs w:val="24"/>
              </w:rPr>
            </w:pPr>
            <w:r>
              <w:rPr>
                <w:rFonts w:ascii="Courier New" w:hAnsi="Courier New" w:cs="Courier New"/>
                <w:sz w:val="24"/>
                <w:szCs w:val="24"/>
              </w:rPr>
              <w:t xml:space="preserve"> $</w:t>
            </w:r>
            <w:r w:rsidRPr="00A63E63">
              <w:rPr>
                <w:rFonts w:ascii="Courier New" w:hAnsi="Courier New" w:cs="Courier New"/>
                <w:sz w:val="24"/>
                <w:szCs w:val="24"/>
                <w:u w:val="double"/>
              </w:rPr>
              <w:t>1,750,756</w:t>
            </w:r>
          </w:p>
        </w:tc>
      </w:tr>
    </w:tbl>
    <w:p w:rsidR="000B7456" w:rsidRDefault="000B7456" w:rsidP="00E81155">
      <w:pPr>
        <w:rPr>
          <w:rFonts w:ascii="Verdana" w:hAnsi="Verdana" w:cs="Arial"/>
          <w:sz w:val="24"/>
          <w:szCs w:val="24"/>
        </w:rPr>
      </w:pPr>
    </w:p>
    <w:p w:rsidR="009C120F" w:rsidRDefault="00A63E63" w:rsidP="00E81155">
      <w:pPr>
        <w:rPr>
          <w:rFonts w:ascii="Verdana" w:hAnsi="Verdana" w:cs="Arial"/>
          <w:sz w:val="24"/>
          <w:szCs w:val="24"/>
        </w:rPr>
      </w:pPr>
      <w:r>
        <w:rPr>
          <w:rFonts w:ascii="Verdana" w:hAnsi="Verdana" w:cs="Arial"/>
          <w:sz w:val="24"/>
          <w:szCs w:val="24"/>
        </w:rPr>
        <w:t>We note in passing that the debt/equity for the reported 2011 numbers is .60, but for the more realistic adjusted numbers, it is .69.  Groupon has a lot of financial leverage and thus a lot of financial risk.</w:t>
      </w:r>
    </w:p>
    <w:p w:rsidR="00A63E63" w:rsidRDefault="00A63E63" w:rsidP="00E81155">
      <w:pPr>
        <w:rPr>
          <w:rFonts w:ascii="Verdana" w:hAnsi="Verdana" w:cs="Arial"/>
          <w:sz w:val="24"/>
          <w:szCs w:val="24"/>
        </w:rPr>
      </w:pPr>
    </w:p>
    <w:p w:rsidR="00CB71AB" w:rsidRDefault="00CB71AB" w:rsidP="00E81155">
      <w:pPr>
        <w:rPr>
          <w:rFonts w:ascii="Verdana" w:hAnsi="Verdana" w:cs="Arial"/>
          <w:sz w:val="24"/>
          <w:szCs w:val="24"/>
        </w:rPr>
      </w:pPr>
      <w:r>
        <w:rPr>
          <w:rFonts w:ascii="Verdana" w:hAnsi="Verdana" w:cs="Arial"/>
          <w:sz w:val="24"/>
          <w:szCs w:val="24"/>
        </w:rPr>
        <w:t xml:space="preserve">Finally, we wanted to leave you with one last cheerful thought…remember the material weaknesses over financial reporting?  Well, how confident are you now that the Company has </w:t>
      </w:r>
      <w:r w:rsidR="007E39E9">
        <w:rPr>
          <w:rFonts w:ascii="Verdana" w:hAnsi="Verdana" w:cs="Arial"/>
          <w:sz w:val="24"/>
          <w:szCs w:val="24"/>
        </w:rPr>
        <w:t xml:space="preserve">or ever will </w:t>
      </w:r>
      <w:r>
        <w:rPr>
          <w:rFonts w:ascii="Verdana" w:hAnsi="Verdana" w:cs="Arial"/>
          <w:sz w:val="24"/>
          <w:szCs w:val="24"/>
        </w:rPr>
        <w:t xml:space="preserve">appropriately </w:t>
      </w:r>
      <w:r w:rsidR="007E39E9">
        <w:rPr>
          <w:rFonts w:ascii="Verdana" w:hAnsi="Verdana" w:cs="Arial"/>
          <w:sz w:val="24"/>
          <w:szCs w:val="24"/>
        </w:rPr>
        <w:t>record</w:t>
      </w:r>
      <w:r>
        <w:rPr>
          <w:rFonts w:ascii="Verdana" w:hAnsi="Verdana" w:cs="Arial"/>
          <w:sz w:val="24"/>
          <w:szCs w:val="24"/>
        </w:rPr>
        <w:t xml:space="preserve"> liabilities for its reward programs, refunds, unredeemed Groupons, </w:t>
      </w:r>
      <w:r w:rsidR="007E39E9">
        <w:rPr>
          <w:rFonts w:ascii="Verdana" w:hAnsi="Verdana" w:cs="Arial"/>
          <w:sz w:val="24"/>
          <w:szCs w:val="24"/>
        </w:rPr>
        <w:t>merchant liabilities and litigation contingencies, all of which require assumptions</w:t>
      </w:r>
      <w:r w:rsidR="00A63E63">
        <w:rPr>
          <w:rFonts w:ascii="Verdana" w:hAnsi="Verdana" w:cs="Arial"/>
          <w:sz w:val="24"/>
          <w:szCs w:val="24"/>
        </w:rPr>
        <w:t xml:space="preserve"> and judgment?</w:t>
      </w:r>
      <w:r w:rsidR="003C74AD">
        <w:rPr>
          <w:rFonts w:ascii="Verdana" w:hAnsi="Verdana" w:cs="Arial"/>
          <w:sz w:val="24"/>
          <w:szCs w:val="24"/>
        </w:rPr>
        <w:t xml:space="preserve">  We aren’t either.</w:t>
      </w:r>
    </w:p>
    <w:p w:rsidR="00D22228" w:rsidRDefault="00D22228" w:rsidP="00E81155">
      <w:pPr>
        <w:rPr>
          <w:rFonts w:ascii="Verdana" w:hAnsi="Verdana" w:cs="Arial"/>
          <w:sz w:val="24"/>
          <w:szCs w:val="24"/>
        </w:rPr>
      </w:pPr>
    </w:p>
    <w:p w:rsidR="00B80F61" w:rsidRDefault="00B80F61" w:rsidP="00EE3621">
      <w:pPr>
        <w:rPr>
          <w:rFonts w:ascii="Verdana" w:hAnsi="Verdana" w:cs="Arial"/>
          <w:sz w:val="24"/>
          <w:szCs w:val="24"/>
        </w:rPr>
      </w:pPr>
    </w:p>
    <w:p w:rsidR="00694BA4" w:rsidRDefault="00694BA4" w:rsidP="00EE3621">
      <w:pPr>
        <w:rPr>
          <w:rFonts w:ascii="Verdana" w:hAnsi="Verdana" w:cs="Arial"/>
          <w:sz w:val="24"/>
          <w:szCs w:val="24"/>
        </w:rPr>
      </w:pPr>
    </w:p>
    <w:p w:rsidR="00694BA4" w:rsidRPr="00EE3621" w:rsidRDefault="00694BA4" w:rsidP="00EE3621">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486FE7" w:rsidRDefault="00486FE7" w:rsidP="00383ECD">
      <w:pPr>
        <w:rPr>
          <w:rFonts w:ascii="Verdana" w:hAnsi="Verdana" w:cs="Arial"/>
          <w:sz w:val="24"/>
          <w:szCs w:val="24"/>
        </w:rPr>
      </w:pPr>
    </w:p>
    <w:sectPr w:rsidR="00486FE7"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
    <w:nsid w:val="6C1D5A3C"/>
    <w:multiLevelType w:val="hybridMultilevel"/>
    <w:tmpl w:val="0370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12"/>
  </w:num>
  <w:num w:numId="6">
    <w:abstractNumId w:val="5"/>
  </w:num>
  <w:num w:numId="7">
    <w:abstractNumId w:val="6"/>
  </w:num>
  <w:num w:numId="8">
    <w:abstractNumId w:val="3"/>
  </w:num>
  <w:num w:numId="9">
    <w:abstractNumId w:val="9"/>
  </w:num>
  <w:num w:numId="10">
    <w:abstractNumId w:val="1"/>
  </w:num>
  <w:num w:numId="11">
    <w:abstractNumId w:val="8"/>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10C83"/>
    <w:rsid w:val="0001223C"/>
    <w:rsid w:val="00013A1E"/>
    <w:rsid w:val="00014F46"/>
    <w:rsid w:val="00032D82"/>
    <w:rsid w:val="000334D4"/>
    <w:rsid w:val="000374C2"/>
    <w:rsid w:val="0003755D"/>
    <w:rsid w:val="000528B3"/>
    <w:rsid w:val="00052C5C"/>
    <w:rsid w:val="00063675"/>
    <w:rsid w:val="00070A9F"/>
    <w:rsid w:val="00081916"/>
    <w:rsid w:val="00082EE2"/>
    <w:rsid w:val="0008518C"/>
    <w:rsid w:val="00093316"/>
    <w:rsid w:val="000A3CC5"/>
    <w:rsid w:val="000A52AA"/>
    <w:rsid w:val="000A68B5"/>
    <w:rsid w:val="000B0974"/>
    <w:rsid w:val="000B7456"/>
    <w:rsid w:val="000C0DAE"/>
    <w:rsid w:val="000C6302"/>
    <w:rsid w:val="000E2E4F"/>
    <w:rsid w:val="001123AF"/>
    <w:rsid w:val="00124D4C"/>
    <w:rsid w:val="00147195"/>
    <w:rsid w:val="00155DA7"/>
    <w:rsid w:val="00162F11"/>
    <w:rsid w:val="00166500"/>
    <w:rsid w:val="001823C4"/>
    <w:rsid w:val="00191907"/>
    <w:rsid w:val="001972B9"/>
    <w:rsid w:val="001978FB"/>
    <w:rsid w:val="001A35D6"/>
    <w:rsid w:val="001A4C91"/>
    <w:rsid w:val="001A523B"/>
    <w:rsid w:val="001A5685"/>
    <w:rsid w:val="001A5F5C"/>
    <w:rsid w:val="001A60AF"/>
    <w:rsid w:val="001A63DD"/>
    <w:rsid w:val="001B2AE8"/>
    <w:rsid w:val="001B3448"/>
    <w:rsid w:val="001B54FF"/>
    <w:rsid w:val="001C3948"/>
    <w:rsid w:val="001C5C9F"/>
    <w:rsid w:val="001C7FFA"/>
    <w:rsid w:val="0020134E"/>
    <w:rsid w:val="0020293D"/>
    <w:rsid w:val="002134E1"/>
    <w:rsid w:val="00215FD8"/>
    <w:rsid w:val="00220F9F"/>
    <w:rsid w:val="002254DA"/>
    <w:rsid w:val="002348DA"/>
    <w:rsid w:val="00250FAB"/>
    <w:rsid w:val="00285D9E"/>
    <w:rsid w:val="002921E3"/>
    <w:rsid w:val="002954BA"/>
    <w:rsid w:val="002A35CE"/>
    <w:rsid w:val="002B0A9D"/>
    <w:rsid w:val="002B29A5"/>
    <w:rsid w:val="002C3701"/>
    <w:rsid w:val="002C3E0F"/>
    <w:rsid w:val="002C4F22"/>
    <w:rsid w:val="00307529"/>
    <w:rsid w:val="0031191B"/>
    <w:rsid w:val="00315910"/>
    <w:rsid w:val="00315C6F"/>
    <w:rsid w:val="00316C9F"/>
    <w:rsid w:val="003259CE"/>
    <w:rsid w:val="00327520"/>
    <w:rsid w:val="003614EA"/>
    <w:rsid w:val="00362D5A"/>
    <w:rsid w:val="00383ECD"/>
    <w:rsid w:val="00387AD3"/>
    <w:rsid w:val="0039366C"/>
    <w:rsid w:val="00394F33"/>
    <w:rsid w:val="003A5F03"/>
    <w:rsid w:val="003A627B"/>
    <w:rsid w:val="003B5481"/>
    <w:rsid w:val="003C2F39"/>
    <w:rsid w:val="003C370E"/>
    <w:rsid w:val="003C74AD"/>
    <w:rsid w:val="003D7633"/>
    <w:rsid w:val="003F2470"/>
    <w:rsid w:val="003F50D8"/>
    <w:rsid w:val="003F6FEC"/>
    <w:rsid w:val="00407DB2"/>
    <w:rsid w:val="00407FE7"/>
    <w:rsid w:val="00434119"/>
    <w:rsid w:val="00441449"/>
    <w:rsid w:val="00443813"/>
    <w:rsid w:val="00452131"/>
    <w:rsid w:val="004534FA"/>
    <w:rsid w:val="00460BD2"/>
    <w:rsid w:val="00463B21"/>
    <w:rsid w:val="00465E6E"/>
    <w:rsid w:val="00471A13"/>
    <w:rsid w:val="00486FE7"/>
    <w:rsid w:val="004A55FF"/>
    <w:rsid w:val="004B03F1"/>
    <w:rsid w:val="004B0E6B"/>
    <w:rsid w:val="004B57C9"/>
    <w:rsid w:val="004B69EA"/>
    <w:rsid w:val="004C67C7"/>
    <w:rsid w:val="004D6BFC"/>
    <w:rsid w:val="004E70E8"/>
    <w:rsid w:val="004E7B9C"/>
    <w:rsid w:val="004F5EB2"/>
    <w:rsid w:val="0050716A"/>
    <w:rsid w:val="005174B2"/>
    <w:rsid w:val="00520260"/>
    <w:rsid w:val="00520832"/>
    <w:rsid w:val="0053056A"/>
    <w:rsid w:val="00534915"/>
    <w:rsid w:val="00547265"/>
    <w:rsid w:val="00560B2A"/>
    <w:rsid w:val="00566ACC"/>
    <w:rsid w:val="005679C2"/>
    <w:rsid w:val="00572989"/>
    <w:rsid w:val="00577A33"/>
    <w:rsid w:val="0058071A"/>
    <w:rsid w:val="005877D3"/>
    <w:rsid w:val="00591E9C"/>
    <w:rsid w:val="005B3AFB"/>
    <w:rsid w:val="005B6B3D"/>
    <w:rsid w:val="005B7BA1"/>
    <w:rsid w:val="005C5AA8"/>
    <w:rsid w:val="005C7FC3"/>
    <w:rsid w:val="005D548A"/>
    <w:rsid w:val="005F2D0B"/>
    <w:rsid w:val="00626CA8"/>
    <w:rsid w:val="00654AEE"/>
    <w:rsid w:val="00671DE9"/>
    <w:rsid w:val="00681673"/>
    <w:rsid w:val="00694BA4"/>
    <w:rsid w:val="006A2E31"/>
    <w:rsid w:val="006A7CF1"/>
    <w:rsid w:val="006B5167"/>
    <w:rsid w:val="006D40B4"/>
    <w:rsid w:val="006F298B"/>
    <w:rsid w:val="00701811"/>
    <w:rsid w:val="007069CC"/>
    <w:rsid w:val="00716893"/>
    <w:rsid w:val="0072083E"/>
    <w:rsid w:val="007233C0"/>
    <w:rsid w:val="007310E9"/>
    <w:rsid w:val="007373D3"/>
    <w:rsid w:val="00741CC4"/>
    <w:rsid w:val="00753045"/>
    <w:rsid w:val="0075714F"/>
    <w:rsid w:val="00762F72"/>
    <w:rsid w:val="007935E9"/>
    <w:rsid w:val="00795EDC"/>
    <w:rsid w:val="007A54C7"/>
    <w:rsid w:val="007B03DF"/>
    <w:rsid w:val="007C2521"/>
    <w:rsid w:val="007D30EB"/>
    <w:rsid w:val="007D7854"/>
    <w:rsid w:val="007E274D"/>
    <w:rsid w:val="007E39E9"/>
    <w:rsid w:val="007E434F"/>
    <w:rsid w:val="007E4E7D"/>
    <w:rsid w:val="00823AFE"/>
    <w:rsid w:val="00825D4D"/>
    <w:rsid w:val="008265E1"/>
    <w:rsid w:val="00830A0B"/>
    <w:rsid w:val="00834103"/>
    <w:rsid w:val="00847F54"/>
    <w:rsid w:val="00853595"/>
    <w:rsid w:val="00865B94"/>
    <w:rsid w:val="00874083"/>
    <w:rsid w:val="0088295A"/>
    <w:rsid w:val="00884EAA"/>
    <w:rsid w:val="00885921"/>
    <w:rsid w:val="00890856"/>
    <w:rsid w:val="008B5E1A"/>
    <w:rsid w:val="008D2071"/>
    <w:rsid w:val="008D5DE7"/>
    <w:rsid w:val="008E0442"/>
    <w:rsid w:val="008E6D9D"/>
    <w:rsid w:val="008F04E9"/>
    <w:rsid w:val="0090653C"/>
    <w:rsid w:val="00907319"/>
    <w:rsid w:val="00907BCA"/>
    <w:rsid w:val="00927054"/>
    <w:rsid w:val="00945340"/>
    <w:rsid w:val="00952126"/>
    <w:rsid w:val="009552D6"/>
    <w:rsid w:val="00974768"/>
    <w:rsid w:val="00975403"/>
    <w:rsid w:val="009A0991"/>
    <w:rsid w:val="009A26FD"/>
    <w:rsid w:val="009A40B3"/>
    <w:rsid w:val="009A6D9B"/>
    <w:rsid w:val="009C120F"/>
    <w:rsid w:val="009C24BF"/>
    <w:rsid w:val="009D3CF4"/>
    <w:rsid w:val="009D772A"/>
    <w:rsid w:val="009F5DB0"/>
    <w:rsid w:val="00A02E34"/>
    <w:rsid w:val="00A03ADF"/>
    <w:rsid w:val="00A11437"/>
    <w:rsid w:val="00A2604A"/>
    <w:rsid w:val="00A35333"/>
    <w:rsid w:val="00A501CA"/>
    <w:rsid w:val="00A56122"/>
    <w:rsid w:val="00A623DC"/>
    <w:rsid w:val="00A63E63"/>
    <w:rsid w:val="00A759EC"/>
    <w:rsid w:val="00A77040"/>
    <w:rsid w:val="00AA48D2"/>
    <w:rsid w:val="00AB5DEF"/>
    <w:rsid w:val="00AC081E"/>
    <w:rsid w:val="00AC7090"/>
    <w:rsid w:val="00AD6616"/>
    <w:rsid w:val="00AD6EB1"/>
    <w:rsid w:val="00AE44C0"/>
    <w:rsid w:val="00B11CE6"/>
    <w:rsid w:val="00B20912"/>
    <w:rsid w:val="00B20A52"/>
    <w:rsid w:val="00B22B1B"/>
    <w:rsid w:val="00B5636F"/>
    <w:rsid w:val="00B7722F"/>
    <w:rsid w:val="00B77990"/>
    <w:rsid w:val="00B80F61"/>
    <w:rsid w:val="00B8681F"/>
    <w:rsid w:val="00B86D31"/>
    <w:rsid w:val="00B91B36"/>
    <w:rsid w:val="00B91C46"/>
    <w:rsid w:val="00BB6235"/>
    <w:rsid w:val="00BC1DB8"/>
    <w:rsid w:val="00BC33AB"/>
    <w:rsid w:val="00BD1C30"/>
    <w:rsid w:val="00BD4859"/>
    <w:rsid w:val="00BF4BFB"/>
    <w:rsid w:val="00BF4CC9"/>
    <w:rsid w:val="00BF663F"/>
    <w:rsid w:val="00C02A18"/>
    <w:rsid w:val="00C0326A"/>
    <w:rsid w:val="00C04A39"/>
    <w:rsid w:val="00C06BB5"/>
    <w:rsid w:val="00C06C9A"/>
    <w:rsid w:val="00C14B68"/>
    <w:rsid w:val="00C17B64"/>
    <w:rsid w:val="00C207AB"/>
    <w:rsid w:val="00C25606"/>
    <w:rsid w:val="00C265D4"/>
    <w:rsid w:val="00C40DDB"/>
    <w:rsid w:val="00C50F7C"/>
    <w:rsid w:val="00C7386E"/>
    <w:rsid w:val="00C83508"/>
    <w:rsid w:val="00C84E3D"/>
    <w:rsid w:val="00C86325"/>
    <w:rsid w:val="00C90AFD"/>
    <w:rsid w:val="00C950FE"/>
    <w:rsid w:val="00CA4259"/>
    <w:rsid w:val="00CB2C19"/>
    <w:rsid w:val="00CB647A"/>
    <w:rsid w:val="00CB71AB"/>
    <w:rsid w:val="00CB7FD0"/>
    <w:rsid w:val="00CC7B0A"/>
    <w:rsid w:val="00CD0E7F"/>
    <w:rsid w:val="00CD27FE"/>
    <w:rsid w:val="00CF567E"/>
    <w:rsid w:val="00D005BC"/>
    <w:rsid w:val="00D04C30"/>
    <w:rsid w:val="00D10237"/>
    <w:rsid w:val="00D15B07"/>
    <w:rsid w:val="00D22228"/>
    <w:rsid w:val="00D54EF4"/>
    <w:rsid w:val="00D552C9"/>
    <w:rsid w:val="00D55EE1"/>
    <w:rsid w:val="00D61215"/>
    <w:rsid w:val="00D66F58"/>
    <w:rsid w:val="00D72331"/>
    <w:rsid w:val="00D7593D"/>
    <w:rsid w:val="00D92C5E"/>
    <w:rsid w:val="00D96CB6"/>
    <w:rsid w:val="00DA29E6"/>
    <w:rsid w:val="00DB6604"/>
    <w:rsid w:val="00DC6A24"/>
    <w:rsid w:val="00DE470E"/>
    <w:rsid w:val="00DE58F7"/>
    <w:rsid w:val="00DF0BCE"/>
    <w:rsid w:val="00DF3928"/>
    <w:rsid w:val="00DF715D"/>
    <w:rsid w:val="00E0278C"/>
    <w:rsid w:val="00E0530E"/>
    <w:rsid w:val="00E12A7D"/>
    <w:rsid w:val="00E13EA4"/>
    <w:rsid w:val="00E26ACF"/>
    <w:rsid w:val="00E318EE"/>
    <w:rsid w:val="00E34A50"/>
    <w:rsid w:val="00E56740"/>
    <w:rsid w:val="00E656F7"/>
    <w:rsid w:val="00E6651F"/>
    <w:rsid w:val="00E81155"/>
    <w:rsid w:val="00E85258"/>
    <w:rsid w:val="00EA73DD"/>
    <w:rsid w:val="00EB4D4A"/>
    <w:rsid w:val="00EC32A1"/>
    <w:rsid w:val="00ED0DD3"/>
    <w:rsid w:val="00ED3830"/>
    <w:rsid w:val="00EE3621"/>
    <w:rsid w:val="00EE62E4"/>
    <w:rsid w:val="00EE6A29"/>
    <w:rsid w:val="00EF3CB2"/>
    <w:rsid w:val="00F0140C"/>
    <w:rsid w:val="00F15FFE"/>
    <w:rsid w:val="00F37BB7"/>
    <w:rsid w:val="00F454E5"/>
    <w:rsid w:val="00F61B68"/>
    <w:rsid w:val="00F66731"/>
    <w:rsid w:val="00F7237C"/>
    <w:rsid w:val="00F7596C"/>
    <w:rsid w:val="00F8568F"/>
    <w:rsid w:val="00F93625"/>
    <w:rsid w:val="00F95297"/>
    <w:rsid w:val="00F97341"/>
    <w:rsid w:val="00FA305E"/>
    <w:rsid w:val="00FA7EBB"/>
    <w:rsid w:val="00FB352F"/>
    <w:rsid w:val="00FB7F87"/>
    <w:rsid w:val="00FC520E"/>
    <w:rsid w:val="00FC5D0E"/>
    <w:rsid w:val="00FD0D5E"/>
    <w:rsid w:val="00FD668C"/>
    <w:rsid w:val="00FD7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table" w:styleId="TableGrid">
    <w:name w:val="Table Grid"/>
    <w:basedOn w:val="TableNormal"/>
    <w:uiPriority w:val="59"/>
    <w:rsid w:val="00890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750276435">
      <w:bodyDiv w:val="1"/>
      <w:marLeft w:val="0"/>
      <w:marRight w:val="0"/>
      <w:marTop w:val="0"/>
      <w:marBottom w:val="0"/>
      <w:divBdr>
        <w:top w:val="none" w:sz="0" w:space="0" w:color="auto"/>
        <w:left w:val="none" w:sz="0" w:space="0" w:color="auto"/>
        <w:bottom w:val="none" w:sz="0" w:space="0" w:color="auto"/>
        <w:right w:val="none" w:sz="0" w:space="0" w:color="auto"/>
      </w:divBdr>
      <w:divsChild>
        <w:div w:id="28141903">
          <w:marLeft w:val="0"/>
          <w:marRight w:val="0"/>
          <w:marTop w:val="125"/>
          <w:marBottom w:val="125"/>
          <w:divBdr>
            <w:top w:val="single" w:sz="4" w:space="6" w:color="C0C0C0"/>
            <w:left w:val="single" w:sz="4" w:space="6" w:color="C0C0C0"/>
            <w:bottom w:val="single" w:sz="4" w:space="6" w:color="C0C0C0"/>
            <w:right w:val="single" w:sz="4" w:space="6" w:color="C0C0C0"/>
          </w:divBdr>
          <w:divsChild>
            <w:div w:id="1077701973">
              <w:marLeft w:val="0"/>
              <w:marRight w:val="0"/>
              <w:marTop w:val="0"/>
              <w:marBottom w:val="0"/>
              <w:divBdr>
                <w:top w:val="none" w:sz="0" w:space="0" w:color="auto"/>
                <w:left w:val="none" w:sz="0" w:space="0" w:color="auto"/>
                <w:bottom w:val="none" w:sz="0" w:space="0" w:color="auto"/>
                <w:right w:val="none" w:sz="0" w:space="0" w:color="auto"/>
              </w:divBdr>
              <w:divsChild>
                <w:div w:id="1888180872">
                  <w:marLeft w:val="0"/>
                  <w:marRight w:val="0"/>
                  <w:marTop w:val="0"/>
                  <w:marBottom w:val="0"/>
                  <w:divBdr>
                    <w:top w:val="none" w:sz="0" w:space="0" w:color="auto"/>
                    <w:left w:val="none" w:sz="0" w:space="0" w:color="auto"/>
                    <w:bottom w:val="none" w:sz="0" w:space="0" w:color="auto"/>
                    <w:right w:val="none" w:sz="0" w:space="0" w:color="auto"/>
                  </w:divBdr>
                  <w:divsChild>
                    <w:div w:id="1268926575">
                      <w:marLeft w:val="0"/>
                      <w:marRight w:val="0"/>
                      <w:marTop w:val="188"/>
                      <w:marBottom w:val="0"/>
                      <w:divBdr>
                        <w:top w:val="none" w:sz="0" w:space="0" w:color="auto"/>
                        <w:left w:val="none" w:sz="0" w:space="0" w:color="auto"/>
                        <w:bottom w:val="none" w:sz="0" w:space="0" w:color="auto"/>
                        <w:right w:val="none" w:sz="0" w:space="0" w:color="auto"/>
                      </w:divBdr>
                      <w:divsChild>
                        <w:div w:id="237255789">
                          <w:marLeft w:val="0"/>
                          <w:marRight w:val="0"/>
                          <w:marTop w:val="0"/>
                          <w:marBottom w:val="0"/>
                          <w:divBdr>
                            <w:top w:val="none" w:sz="0" w:space="0" w:color="auto"/>
                            <w:left w:val="none" w:sz="0" w:space="0" w:color="auto"/>
                            <w:bottom w:val="none" w:sz="0" w:space="0" w:color="auto"/>
                            <w:right w:val="none" w:sz="0" w:space="0" w:color="auto"/>
                          </w:divBdr>
                          <w:divsChild>
                            <w:div w:id="1610548565">
                              <w:marLeft w:val="0"/>
                              <w:marRight w:val="0"/>
                              <w:marTop w:val="0"/>
                              <w:marBottom w:val="0"/>
                              <w:divBdr>
                                <w:top w:val="none" w:sz="0" w:space="0" w:color="auto"/>
                                <w:left w:val="none" w:sz="0" w:space="0" w:color="auto"/>
                                <w:bottom w:val="none" w:sz="0" w:space="0" w:color="auto"/>
                                <w:right w:val="none" w:sz="0" w:space="0" w:color="auto"/>
                              </w:divBdr>
                              <w:divsChild>
                                <w:div w:id="680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70932">
      <w:bodyDiv w:val="1"/>
      <w:marLeft w:val="0"/>
      <w:marRight w:val="0"/>
      <w:marTop w:val="0"/>
      <w:marBottom w:val="0"/>
      <w:divBdr>
        <w:top w:val="none" w:sz="0" w:space="0" w:color="auto"/>
        <w:left w:val="none" w:sz="0" w:space="0" w:color="auto"/>
        <w:bottom w:val="none" w:sz="0" w:space="0" w:color="auto"/>
        <w:right w:val="none" w:sz="0" w:space="0" w:color="auto"/>
      </w:divBdr>
      <w:divsChild>
        <w:div w:id="1774934135">
          <w:marLeft w:val="0"/>
          <w:marRight w:val="0"/>
          <w:marTop w:val="125"/>
          <w:marBottom w:val="125"/>
          <w:divBdr>
            <w:top w:val="single" w:sz="4" w:space="6" w:color="C0C0C0"/>
            <w:left w:val="single" w:sz="4" w:space="6" w:color="C0C0C0"/>
            <w:bottom w:val="single" w:sz="4" w:space="6" w:color="C0C0C0"/>
            <w:right w:val="single" w:sz="4" w:space="6" w:color="C0C0C0"/>
          </w:divBdr>
          <w:divsChild>
            <w:div w:id="1986466807">
              <w:marLeft w:val="0"/>
              <w:marRight w:val="0"/>
              <w:marTop w:val="0"/>
              <w:marBottom w:val="0"/>
              <w:divBdr>
                <w:top w:val="none" w:sz="0" w:space="0" w:color="auto"/>
                <w:left w:val="none" w:sz="0" w:space="0" w:color="auto"/>
                <w:bottom w:val="none" w:sz="0" w:space="0" w:color="auto"/>
                <w:right w:val="none" w:sz="0" w:space="0" w:color="auto"/>
              </w:divBdr>
              <w:divsChild>
                <w:div w:id="1559433577">
                  <w:marLeft w:val="0"/>
                  <w:marRight w:val="0"/>
                  <w:marTop w:val="0"/>
                  <w:marBottom w:val="0"/>
                  <w:divBdr>
                    <w:top w:val="none" w:sz="0" w:space="0" w:color="auto"/>
                    <w:left w:val="none" w:sz="0" w:space="0" w:color="auto"/>
                    <w:bottom w:val="none" w:sz="0" w:space="0" w:color="auto"/>
                    <w:right w:val="none" w:sz="0" w:space="0" w:color="auto"/>
                  </w:divBdr>
                  <w:divsChild>
                    <w:div w:id="934677367">
                      <w:marLeft w:val="0"/>
                      <w:marRight w:val="0"/>
                      <w:marTop w:val="188"/>
                      <w:marBottom w:val="0"/>
                      <w:divBdr>
                        <w:top w:val="none" w:sz="0" w:space="0" w:color="auto"/>
                        <w:left w:val="none" w:sz="0" w:space="0" w:color="auto"/>
                        <w:bottom w:val="none" w:sz="0" w:space="0" w:color="auto"/>
                        <w:right w:val="none" w:sz="0" w:space="0" w:color="auto"/>
                      </w:divBdr>
                      <w:divsChild>
                        <w:div w:id="1521820456">
                          <w:marLeft w:val="0"/>
                          <w:marRight w:val="0"/>
                          <w:marTop w:val="0"/>
                          <w:marBottom w:val="0"/>
                          <w:divBdr>
                            <w:top w:val="none" w:sz="0" w:space="0" w:color="auto"/>
                            <w:left w:val="none" w:sz="0" w:space="0" w:color="auto"/>
                            <w:bottom w:val="none" w:sz="0" w:space="0" w:color="auto"/>
                            <w:right w:val="none" w:sz="0" w:space="0" w:color="auto"/>
                          </w:divBdr>
                          <w:divsChild>
                            <w:div w:id="1200313412">
                              <w:marLeft w:val="0"/>
                              <w:marRight w:val="0"/>
                              <w:marTop w:val="0"/>
                              <w:marBottom w:val="0"/>
                              <w:divBdr>
                                <w:top w:val="none" w:sz="0" w:space="0" w:color="auto"/>
                                <w:left w:val="none" w:sz="0" w:space="0" w:color="auto"/>
                                <w:bottom w:val="none" w:sz="0" w:space="0" w:color="auto"/>
                                <w:right w:val="none" w:sz="0" w:space="0" w:color="auto"/>
                              </w:divBdr>
                              <w:divsChild>
                                <w:div w:id="11221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meal.psu.edu/grumpyoldaccountants/archives/281" TargetMode="External"/><Relationship Id="rId3" Type="http://schemas.openxmlformats.org/officeDocument/2006/relationships/settings" Target="settings.xml"/><Relationship Id="rId7" Type="http://schemas.openxmlformats.org/officeDocument/2006/relationships/hyperlink" Target="http://blogs.smeal.psu.edu/grumpyoldaccountants/archives/1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ges.stern.nyu.edu/~ealtman/Corp-Distress.pdf" TargetMode="External"/><Relationship Id="rId11" Type="http://schemas.openxmlformats.org/officeDocument/2006/relationships/fontTable" Target="fontTable.xml"/><Relationship Id="rId5" Type="http://schemas.openxmlformats.org/officeDocument/2006/relationships/hyperlink" Target="http://blogs.smeal.psu.edu/grumpyoldaccountants/archives/593" TargetMode="External"/><Relationship Id="rId10" Type="http://schemas.openxmlformats.org/officeDocument/2006/relationships/hyperlink" Target="http://blogs.smeal.psu.edu/grumpyoldaccountants/archives/550" TargetMode="External"/><Relationship Id="rId4" Type="http://schemas.openxmlformats.org/officeDocument/2006/relationships/webSettings" Target="webSettings.xml"/><Relationship Id="rId9" Type="http://schemas.openxmlformats.org/officeDocument/2006/relationships/hyperlink" Target="http://blogs.smeal.psu.edu/grumpyoldaccountants/archives/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11</cp:revision>
  <cp:lastPrinted>2012-04-03T13:48:00Z</cp:lastPrinted>
  <dcterms:created xsi:type="dcterms:W3CDTF">2012-04-03T12:24:00Z</dcterms:created>
  <dcterms:modified xsi:type="dcterms:W3CDTF">2012-04-03T16:24:00Z</dcterms:modified>
</cp:coreProperties>
</file>