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176F35" w:rsidP="00E81155">
      <w:pPr>
        <w:rPr>
          <w:rFonts w:ascii="Arial" w:hAnsi="Arial" w:cs="Arial"/>
          <w:b/>
          <w:sz w:val="28"/>
          <w:szCs w:val="28"/>
        </w:rPr>
      </w:pPr>
      <w:r>
        <w:rPr>
          <w:rFonts w:ascii="Arial" w:hAnsi="Arial" w:cs="Arial"/>
          <w:b/>
          <w:sz w:val="28"/>
          <w:szCs w:val="28"/>
        </w:rPr>
        <w:t>ZYNGA’S FIRST 10-K: Z</w:t>
      </w:r>
      <w:r w:rsidR="00E9574D">
        <w:rPr>
          <w:rFonts w:ascii="Arial" w:hAnsi="Arial" w:cs="Arial"/>
          <w:b/>
          <w:sz w:val="28"/>
          <w:szCs w:val="28"/>
        </w:rPr>
        <w:t>EST</w:t>
      </w:r>
      <w:r w:rsidR="00F11743">
        <w:rPr>
          <w:rFonts w:ascii="Arial" w:hAnsi="Arial" w:cs="Arial"/>
          <w:b/>
          <w:sz w:val="28"/>
          <w:szCs w:val="28"/>
        </w:rPr>
        <w:t>FUL</w:t>
      </w:r>
      <w:r w:rsidR="00E9574D">
        <w:rPr>
          <w:rFonts w:ascii="Arial" w:hAnsi="Arial" w:cs="Arial"/>
          <w:b/>
          <w:sz w:val="28"/>
          <w:szCs w:val="28"/>
        </w:rPr>
        <w:t xml:space="preserve"> Z</w:t>
      </w:r>
      <w:r w:rsidR="00C860E9">
        <w:rPr>
          <w:rFonts w:ascii="Arial" w:hAnsi="Arial" w:cs="Arial"/>
          <w:b/>
          <w:sz w:val="28"/>
          <w:szCs w:val="28"/>
        </w:rPr>
        <w:t>EPHY</w:t>
      </w:r>
      <w:r w:rsidR="00E9574D">
        <w:rPr>
          <w:rFonts w:ascii="Arial" w:hAnsi="Arial" w:cs="Arial"/>
          <w:b/>
          <w:sz w:val="28"/>
          <w:szCs w:val="28"/>
        </w:rPr>
        <w:t>RS</w:t>
      </w:r>
    </w:p>
    <w:p w:rsidR="00482173" w:rsidRDefault="00482173" w:rsidP="00E81155">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2083E">
        <w:rPr>
          <w:rFonts w:ascii="Arial" w:hAnsi="Arial" w:cs="Arial"/>
          <w:b/>
          <w:i/>
          <w:sz w:val="24"/>
          <w:szCs w:val="24"/>
        </w:rPr>
        <w:t>March</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C860E9" w:rsidRPr="00656A82" w:rsidRDefault="00C860E9" w:rsidP="00DA29E6">
      <w:pPr>
        <w:rPr>
          <w:rFonts w:ascii="Verdana" w:hAnsi="Verdana" w:cs="Arial"/>
          <w:sz w:val="24"/>
          <w:szCs w:val="24"/>
        </w:rPr>
      </w:pPr>
    </w:p>
    <w:p w:rsidR="00A61C2C" w:rsidRPr="00656A82" w:rsidRDefault="00A61C2C" w:rsidP="00A61C2C">
      <w:pPr>
        <w:rPr>
          <w:rFonts w:ascii="Verdana" w:hAnsi="Verdana" w:cs="Arial"/>
          <w:sz w:val="24"/>
          <w:szCs w:val="24"/>
        </w:rPr>
      </w:pPr>
    </w:p>
    <w:p w:rsidR="002525F7" w:rsidRDefault="00527961" w:rsidP="00A61C2C">
      <w:pPr>
        <w:rPr>
          <w:rFonts w:ascii="Verdana" w:hAnsi="Verdana" w:cs="Arial"/>
          <w:sz w:val="24"/>
          <w:szCs w:val="24"/>
        </w:rPr>
      </w:pPr>
      <w:r>
        <w:rPr>
          <w:rFonts w:ascii="Verdana" w:hAnsi="Verdana" w:cs="Arial"/>
          <w:sz w:val="24"/>
          <w:szCs w:val="24"/>
        </w:rPr>
        <w:t xml:space="preserve">Zynga issued its first 10-K at </w:t>
      </w:r>
      <w:r w:rsidR="00E76229">
        <w:rPr>
          <w:rFonts w:ascii="Verdana" w:hAnsi="Verdana" w:cs="Arial"/>
          <w:sz w:val="24"/>
          <w:szCs w:val="24"/>
        </w:rPr>
        <w:t xml:space="preserve">the end of February, and provides </w:t>
      </w:r>
      <w:r>
        <w:rPr>
          <w:rFonts w:ascii="Verdana" w:hAnsi="Verdana" w:cs="Arial"/>
          <w:sz w:val="24"/>
          <w:szCs w:val="24"/>
        </w:rPr>
        <w:t xml:space="preserve">some interesting tidbits.  Much isn’t new, just some extensions of what Zynga </w:t>
      </w:r>
      <w:r w:rsidR="00482173">
        <w:rPr>
          <w:rFonts w:ascii="Verdana" w:hAnsi="Verdana" w:cs="Arial"/>
          <w:sz w:val="24"/>
          <w:szCs w:val="24"/>
        </w:rPr>
        <w:t>init</w:t>
      </w:r>
      <w:r w:rsidR="005100B0">
        <w:rPr>
          <w:rFonts w:ascii="Verdana" w:hAnsi="Verdana" w:cs="Arial"/>
          <w:sz w:val="24"/>
          <w:szCs w:val="24"/>
        </w:rPr>
        <w:t>ially reported in its S-1 (</w:t>
      </w:r>
      <w:r>
        <w:rPr>
          <w:rFonts w:ascii="Verdana" w:hAnsi="Verdana" w:cs="Arial"/>
          <w:sz w:val="24"/>
          <w:szCs w:val="24"/>
        </w:rPr>
        <w:t>various hues and shades).</w:t>
      </w:r>
      <w:r w:rsidR="002525F7">
        <w:rPr>
          <w:rFonts w:ascii="Verdana" w:hAnsi="Verdana" w:cs="Arial"/>
          <w:sz w:val="24"/>
          <w:szCs w:val="24"/>
        </w:rPr>
        <w:t xml:space="preserve">  We</w:t>
      </w:r>
      <w:r w:rsidR="00E76229">
        <w:rPr>
          <w:rFonts w:ascii="Verdana" w:hAnsi="Verdana" w:cs="Arial"/>
          <w:sz w:val="24"/>
          <w:szCs w:val="24"/>
        </w:rPr>
        <w:t xml:space="preserve"> look first at </w:t>
      </w:r>
      <w:r w:rsidR="002525F7">
        <w:rPr>
          <w:rFonts w:ascii="Verdana" w:hAnsi="Verdana" w:cs="Arial"/>
          <w:sz w:val="24"/>
          <w:szCs w:val="24"/>
        </w:rPr>
        <w:t>those items</w:t>
      </w:r>
      <w:r w:rsidR="00E76229">
        <w:rPr>
          <w:rFonts w:ascii="Verdana" w:hAnsi="Verdana" w:cs="Arial"/>
          <w:sz w:val="24"/>
          <w:szCs w:val="24"/>
        </w:rPr>
        <w:t xml:space="preserve"> first: </w:t>
      </w:r>
      <w:r w:rsidR="002525F7">
        <w:rPr>
          <w:rFonts w:ascii="Verdana" w:hAnsi="Verdana" w:cs="Arial"/>
          <w:sz w:val="24"/>
          <w:szCs w:val="24"/>
        </w:rPr>
        <w:t>revenue recognition</w:t>
      </w:r>
      <w:r w:rsidR="00E76229">
        <w:rPr>
          <w:rFonts w:ascii="Verdana" w:hAnsi="Verdana" w:cs="Arial"/>
          <w:sz w:val="24"/>
          <w:szCs w:val="24"/>
        </w:rPr>
        <w:t xml:space="preserve"> practices, </w:t>
      </w:r>
      <w:r w:rsidR="002525F7">
        <w:rPr>
          <w:rFonts w:ascii="Verdana" w:hAnsi="Verdana" w:cs="Arial"/>
          <w:sz w:val="24"/>
          <w:szCs w:val="24"/>
        </w:rPr>
        <w:t xml:space="preserve">the </w:t>
      </w:r>
      <w:r w:rsidR="00E76229">
        <w:rPr>
          <w:rFonts w:ascii="Verdana" w:hAnsi="Verdana" w:cs="Arial"/>
          <w:sz w:val="24"/>
          <w:szCs w:val="24"/>
        </w:rPr>
        <w:t>“</w:t>
      </w:r>
      <w:r w:rsidR="002525F7">
        <w:rPr>
          <w:rFonts w:ascii="Verdana" w:hAnsi="Verdana" w:cs="Arial"/>
          <w:sz w:val="24"/>
          <w:szCs w:val="24"/>
        </w:rPr>
        <w:t>b</w:t>
      </w:r>
      <w:r w:rsidR="007350F2">
        <w:rPr>
          <w:rFonts w:ascii="Verdana" w:hAnsi="Verdana" w:cs="Arial"/>
          <w:sz w:val="24"/>
          <w:szCs w:val="24"/>
        </w:rPr>
        <w:t>ook</w:t>
      </w:r>
      <w:r w:rsidR="002525F7">
        <w:rPr>
          <w:rFonts w:ascii="Verdana" w:hAnsi="Verdana" w:cs="Arial"/>
          <w:sz w:val="24"/>
          <w:szCs w:val="24"/>
        </w:rPr>
        <w:t>ings</w:t>
      </w:r>
      <w:r w:rsidR="00E76229">
        <w:rPr>
          <w:rFonts w:ascii="Verdana" w:hAnsi="Verdana" w:cs="Arial"/>
          <w:sz w:val="24"/>
          <w:szCs w:val="24"/>
        </w:rPr>
        <w:t xml:space="preserve">” metric, and, of course, </w:t>
      </w:r>
      <w:r w:rsidR="002525F7">
        <w:rPr>
          <w:rFonts w:ascii="Verdana" w:hAnsi="Verdana" w:cs="Arial"/>
          <w:sz w:val="24"/>
          <w:szCs w:val="24"/>
        </w:rPr>
        <w:t xml:space="preserve">adjusted EBITDA.  </w:t>
      </w:r>
      <w:r w:rsidR="00E76229">
        <w:rPr>
          <w:rFonts w:ascii="Verdana" w:hAnsi="Verdana" w:cs="Arial"/>
          <w:sz w:val="24"/>
          <w:szCs w:val="24"/>
        </w:rPr>
        <w:t xml:space="preserve">Then, we will discuss several new issues that provide insight into </w:t>
      </w:r>
      <w:proofErr w:type="spellStart"/>
      <w:r w:rsidR="00E76229">
        <w:rPr>
          <w:rFonts w:ascii="Verdana" w:hAnsi="Verdana" w:cs="Arial"/>
          <w:sz w:val="24"/>
          <w:szCs w:val="24"/>
        </w:rPr>
        <w:t>Zynga’s</w:t>
      </w:r>
      <w:proofErr w:type="spellEnd"/>
      <w:r w:rsidR="00E76229">
        <w:rPr>
          <w:rFonts w:ascii="Verdana" w:hAnsi="Verdana" w:cs="Arial"/>
          <w:sz w:val="24"/>
          <w:szCs w:val="24"/>
        </w:rPr>
        <w:t xml:space="preserve"> capital structure and future taxable income: lease obligations and </w:t>
      </w:r>
      <w:r w:rsidR="002525F7">
        <w:rPr>
          <w:rFonts w:ascii="Verdana" w:hAnsi="Verdana" w:cs="Arial"/>
          <w:sz w:val="24"/>
          <w:szCs w:val="24"/>
        </w:rPr>
        <w:t>deferred tax assets</w:t>
      </w:r>
      <w:r w:rsidR="00E76229">
        <w:rPr>
          <w:rFonts w:ascii="Verdana" w:hAnsi="Verdana" w:cs="Arial"/>
          <w:sz w:val="24"/>
          <w:szCs w:val="24"/>
        </w:rPr>
        <w:t>, respectively</w:t>
      </w:r>
      <w:r w:rsidR="002525F7">
        <w:rPr>
          <w:rFonts w:ascii="Verdana" w:hAnsi="Verdana" w:cs="Arial"/>
          <w:sz w:val="24"/>
          <w:szCs w:val="24"/>
        </w:rPr>
        <w:t xml:space="preserve">.  </w:t>
      </w:r>
    </w:p>
    <w:p w:rsidR="009652C3" w:rsidRDefault="009652C3" w:rsidP="00A61C2C">
      <w:pPr>
        <w:rPr>
          <w:rFonts w:ascii="Verdana" w:hAnsi="Verdana" w:cs="Arial"/>
          <w:sz w:val="24"/>
          <w:szCs w:val="24"/>
        </w:rPr>
      </w:pPr>
    </w:p>
    <w:p w:rsidR="002525F7" w:rsidRPr="00E76229" w:rsidRDefault="00D97F49" w:rsidP="00A61C2C">
      <w:pPr>
        <w:rPr>
          <w:rFonts w:ascii="Verdana" w:hAnsi="Verdana" w:cs="Arial"/>
          <w:b/>
          <w:sz w:val="24"/>
          <w:szCs w:val="24"/>
        </w:rPr>
      </w:pPr>
      <w:r w:rsidRPr="00E76229">
        <w:rPr>
          <w:rFonts w:ascii="Verdana" w:hAnsi="Verdana" w:cs="Arial"/>
          <w:b/>
          <w:sz w:val="24"/>
          <w:szCs w:val="24"/>
        </w:rPr>
        <w:t>Revenue Recognition</w:t>
      </w:r>
    </w:p>
    <w:p w:rsidR="00797B40" w:rsidRDefault="00797B40" w:rsidP="00A61C2C">
      <w:pPr>
        <w:rPr>
          <w:rFonts w:ascii="Verdana" w:hAnsi="Verdana" w:cs="Arial"/>
          <w:sz w:val="24"/>
          <w:szCs w:val="24"/>
        </w:rPr>
      </w:pPr>
    </w:p>
    <w:p w:rsidR="00527961" w:rsidRDefault="008777B4" w:rsidP="00A61C2C">
      <w:pPr>
        <w:rPr>
          <w:rFonts w:ascii="Verdana" w:hAnsi="Verdana" w:cs="Arial"/>
          <w:sz w:val="24"/>
          <w:szCs w:val="24"/>
        </w:rPr>
      </w:pPr>
      <w:r>
        <w:rPr>
          <w:rFonts w:ascii="Verdana" w:hAnsi="Verdana" w:cs="Arial"/>
          <w:sz w:val="24"/>
          <w:szCs w:val="24"/>
        </w:rPr>
        <w:t xml:space="preserve">We have no issue with how Zynga recognizes revenues from advertisers, but revenue recognition from players is a different matter.  </w:t>
      </w:r>
      <w:r w:rsidR="00B1005D">
        <w:rPr>
          <w:rFonts w:ascii="Verdana" w:hAnsi="Verdana" w:cs="Arial"/>
          <w:sz w:val="24"/>
          <w:szCs w:val="24"/>
        </w:rPr>
        <w:t xml:space="preserve">Zynga still pretends that the random, virtual parameters of a computer game are somehow real.  Thus, it parses the cash received by these constructions, acting as if virtual consumer and durable goods are in fact real.  </w:t>
      </w:r>
      <w:r w:rsidR="00E76229">
        <w:rPr>
          <w:rFonts w:ascii="Verdana" w:hAnsi="Verdana" w:cs="Arial"/>
          <w:sz w:val="24"/>
          <w:szCs w:val="24"/>
        </w:rPr>
        <w:t xml:space="preserve">Zynga </w:t>
      </w:r>
      <w:r>
        <w:rPr>
          <w:rFonts w:ascii="Verdana" w:hAnsi="Verdana" w:cs="Arial"/>
          <w:sz w:val="24"/>
          <w:szCs w:val="24"/>
        </w:rPr>
        <w:t>states:</w:t>
      </w:r>
    </w:p>
    <w:p w:rsidR="00527961" w:rsidRDefault="00527961" w:rsidP="00A61C2C">
      <w:pPr>
        <w:rPr>
          <w:rFonts w:ascii="Verdana" w:hAnsi="Verdana" w:cs="Arial"/>
          <w:sz w:val="24"/>
          <w:szCs w:val="24"/>
        </w:rPr>
      </w:pPr>
    </w:p>
    <w:p w:rsidR="008777B4" w:rsidRPr="008777B4" w:rsidRDefault="008777B4" w:rsidP="008777B4">
      <w:pPr>
        <w:pStyle w:val="NormalWeb"/>
        <w:shd w:val="clear" w:color="auto" w:fill="FFFFFF"/>
        <w:spacing w:before="150" w:beforeAutospacing="0" w:after="0" w:afterAutospacing="0"/>
        <w:ind w:left="720"/>
        <w:rPr>
          <w:color w:val="000000"/>
        </w:rPr>
      </w:pPr>
      <w:r w:rsidRPr="008777B4">
        <w:rPr>
          <w:color w:val="000000"/>
        </w:rPr>
        <w:t>For purposes of determining when the service has been provided to the player, we have determined that an implied obligation exists to the paying player to continue displaying the purchased virtual goods within the online game over their estimated life or until they are consumed. The proceeds from the sales of virtual goods are initially recorded in deferred revenue. We categorize our virtual goods as either consumable or durable. Consumable virtual goods, such as energy in</w:t>
      </w:r>
      <w:r w:rsidRPr="008777B4">
        <w:rPr>
          <w:rStyle w:val="apple-converted-space"/>
          <w:color w:val="000000"/>
        </w:rPr>
        <w:t> </w:t>
      </w:r>
      <w:r w:rsidRPr="008777B4">
        <w:rPr>
          <w:i/>
          <w:iCs/>
          <w:color w:val="000000"/>
        </w:rPr>
        <w:t>CityVille</w:t>
      </w:r>
      <w:r w:rsidRPr="008777B4">
        <w:rPr>
          <w:color w:val="000000"/>
        </w:rPr>
        <w:t xml:space="preserve">, represent goods that can be consumed by a specific player action. Common characteristics of consumable goods may include virtual goods that are no longer displayed on the player’s game board after a short period of time, do not provide the player any continuing benefit following consumption or often times enable a player to perform an in-game action immediately. </w:t>
      </w:r>
      <w:r w:rsidRPr="00E76229">
        <w:rPr>
          <w:b/>
          <w:color w:val="000000"/>
        </w:rPr>
        <w:t>For the sale of consumable virtual goods, we recognize re</w:t>
      </w:r>
      <w:r w:rsidR="00E76229">
        <w:rPr>
          <w:b/>
          <w:color w:val="000000"/>
        </w:rPr>
        <w:t>venue as the goods are consumed</w:t>
      </w:r>
      <w:r w:rsidRPr="00E76229">
        <w:rPr>
          <w:b/>
          <w:color w:val="000000"/>
        </w:rPr>
        <w:t xml:space="preserve"> </w:t>
      </w:r>
      <w:r w:rsidR="00E76229" w:rsidRPr="00E76229">
        <w:rPr>
          <w:b/>
          <w:i/>
          <w:color w:val="000000"/>
        </w:rPr>
        <w:t>(emphasis added).</w:t>
      </w:r>
      <w:r w:rsidR="00E76229">
        <w:rPr>
          <w:color w:val="000000"/>
        </w:rPr>
        <w:t xml:space="preserve"> </w:t>
      </w:r>
      <w:r w:rsidRPr="008777B4">
        <w:rPr>
          <w:color w:val="000000"/>
        </w:rPr>
        <w:t>Durable virtual goods, such as tractors in</w:t>
      </w:r>
      <w:r w:rsidRPr="008777B4">
        <w:rPr>
          <w:rStyle w:val="apple-converted-space"/>
          <w:color w:val="000000"/>
        </w:rPr>
        <w:t> </w:t>
      </w:r>
      <w:r w:rsidRPr="008777B4">
        <w:rPr>
          <w:i/>
          <w:iCs/>
          <w:color w:val="000000"/>
        </w:rPr>
        <w:t>FarmVille</w:t>
      </w:r>
      <w:r w:rsidRPr="008777B4">
        <w:rPr>
          <w:color w:val="000000"/>
        </w:rPr>
        <w:t xml:space="preserve">, represent virtual goods that are accessible to the player over an extended period of time. </w:t>
      </w:r>
      <w:r w:rsidRPr="00480DB5">
        <w:rPr>
          <w:b/>
          <w:color w:val="000000"/>
        </w:rPr>
        <w:t>We recognize revenue from the sale of durable virtual goods ratably over the estimated average playing period of paying players for the applicable game, which represents our best estimate of the average life of our durable virtual goods</w:t>
      </w:r>
      <w:r w:rsidR="00480DB5">
        <w:rPr>
          <w:b/>
          <w:color w:val="000000"/>
        </w:rPr>
        <w:t xml:space="preserve"> (</w:t>
      </w:r>
      <w:r w:rsidR="00480DB5" w:rsidRPr="00480DB5">
        <w:rPr>
          <w:b/>
          <w:i/>
          <w:color w:val="000000"/>
        </w:rPr>
        <w:t>emphasis added</w:t>
      </w:r>
      <w:r w:rsidR="00480DB5">
        <w:rPr>
          <w:b/>
          <w:color w:val="000000"/>
        </w:rPr>
        <w:t>)</w:t>
      </w:r>
      <w:r w:rsidRPr="00480DB5">
        <w:rPr>
          <w:b/>
          <w:color w:val="000000"/>
        </w:rPr>
        <w:t>.</w:t>
      </w:r>
      <w:r w:rsidRPr="008777B4">
        <w:rPr>
          <w:color w:val="000000"/>
        </w:rPr>
        <w:t xml:space="preserve"> If we do not have the ability to differentiate revenue attributable to durable virtual goods from consumable virtual goods for a specific game, </w:t>
      </w:r>
      <w:r w:rsidRPr="00480DB5">
        <w:rPr>
          <w:b/>
          <w:color w:val="000000"/>
        </w:rPr>
        <w:t>we recognize revenue from the sale of durable and consumable virtual goods for that game ratably over the estimated average period that paying players typically play our games (as further discussed below), which ranged from eight to 25 months in 2011</w:t>
      </w:r>
      <w:r w:rsidR="00480DB5">
        <w:rPr>
          <w:color w:val="000000"/>
        </w:rPr>
        <w:t xml:space="preserve"> </w:t>
      </w:r>
      <w:r w:rsidR="00480DB5" w:rsidRPr="00480DB5">
        <w:rPr>
          <w:b/>
          <w:i/>
          <w:color w:val="000000"/>
        </w:rPr>
        <w:t>(emphasis added)</w:t>
      </w:r>
      <w:r w:rsidRPr="00480DB5">
        <w:rPr>
          <w:b/>
          <w:i/>
          <w:color w:val="000000"/>
        </w:rPr>
        <w:t>.</w:t>
      </w:r>
      <w:r w:rsidRPr="008777B4">
        <w:rPr>
          <w:color w:val="000000"/>
        </w:rPr>
        <w:t xml:space="preserve"> Future paying player usage patterns and behavior may differ from the historical usage patterns and therefore the estimated average playing periods may change in the future.</w:t>
      </w:r>
    </w:p>
    <w:p w:rsidR="00527961" w:rsidRDefault="00527961" w:rsidP="00A61C2C">
      <w:pPr>
        <w:rPr>
          <w:rFonts w:ascii="Verdana" w:hAnsi="Verdana" w:cs="Arial"/>
          <w:sz w:val="24"/>
          <w:szCs w:val="24"/>
        </w:rPr>
      </w:pPr>
    </w:p>
    <w:p w:rsidR="00527961" w:rsidRDefault="0082531D" w:rsidP="00A61C2C">
      <w:pPr>
        <w:rPr>
          <w:rFonts w:ascii="Verdana" w:hAnsi="Verdana" w:cs="Arial"/>
          <w:sz w:val="24"/>
          <w:szCs w:val="24"/>
        </w:rPr>
      </w:pPr>
      <w:r>
        <w:rPr>
          <w:rFonts w:ascii="Verdana" w:hAnsi="Verdana" w:cs="Arial"/>
          <w:sz w:val="24"/>
          <w:szCs w:val="24"/>
        </w:rPr>
        <w:t>Amusing and fanciful, but not good accounting</w:t>
      </w:r>
      <w:r w:rsidR="007350F2">
        <w:rPr>
          <w:rFonts w:ascii="Verdana" w:hAnsi="Verdana" w:cs="Arial"/>
          <w:sz w:val="24"/>
          <w:szCs w:val="24"/>
        </w:rPr>
        <w:t xml:space="preserve">, as we </w:t>
      </w:r>
      <w:r w:rsidR="009652C3">
        <w:rPr>
          <w:rFonts w:ascii="Verdana" w:hAnsi="Verdana" w:cs="Arial"/>
          <w:sz w:val="24"/>
          <w:szCs w:val="24"/>
        </w:rPr>
        <w:t>explained</w:t>
      </w:r>
      <w:r w:rsidR="007350F2">
        <w:rPr>
          <w:rFonts w:ascii="Verdana" w:hAnsi="Verdana" w:cs="Arial"/>
          <w:sz w:val="24"/>
          <w:szCs w:val="24"/>
        </w:rPr>
        <w:t xml:space="preserve"> in “</w:t>
      </w:r>
      <w:hyperlink r:id="rId5" w:history="1">
        <w:r w:rsidR="007350F2" w:rsidRPr="007350F2">
          <w:rPr>
            <w:rStyle w:val="Hyperlink"/>
            <w:rFonts w:ascii="Verdana" w:hAnsi="Verdana" w:cs="Arial"/>
            <w:sz w:val="24"/>
            <w:szCs w:val="24"/>
          </w:rPr>
          <w:t>Zynga’s Profits Gets Zyngier</w:t>
        </w:r>
      </w:hyperlink>
      <w:r>
        <w:rPr>
          <w:rFonts w:ascii="Verdana" w:hAnsi="Verdana" w:cs="Arial"/>
          <w:sz w:val="24"/>
          <w:szCs w:val="24"/>
        </w:rPr>
        <w:t>.</w:t>
      </w:r>
      <w:r w:rsidR="007350F2">
        <w:rPr>
          <w:rFonts w:ascii="Verdana" w:hAnsi="Verdana" w:cs="Arial"/>
          <w:sz w:val="24"/>
          <w:szCs w:val="24"/>
        </w:rPr>
        <w:t>”</w:t>
      </w:r>
      <w:r>
        <w:rPr>
          <w:rFonts w:ascii="Verdana" w:hAnsi="Verdana" w:cs="Arial"/>
          <w:sz w:val="24"/>
          <w:szCs w:val="24"/>
        </w:rPr>
        <w:t xml:space="preserve">  By merely changing the game’s rules, </w:t>
      </w:r>
      <w:r w:rsidR="00480DB5">
        <w:rPr>
          <w:rFonts w:ascii="Verdana" w:hAnsi="Verdana" w:cs="Arial"/>
          <w:sz w:val="24"/>
          <w:szCs w:val="24"/>
        </w:rPr>
        <w:t>the Company can change what it books as revenue! This is</w:t>
      </w:r>
      <w:r w:rsidR="009652C3">
        <w:rPr>
          <w:rFonts w:ascii="Verdana" w:hAnsi="Verdana" w:cs="Arial"/>
          <w:sz w:val="24"/>
          <w:szCs w:val="24"/>
        </w:rPr>
        <w:t xml:space="preserve"> all too arbitrary</w:t>
      </w:r>
      <w:r>
        <w:rPr>
          <w:rFonts w:ascii="Verdana" w:hAnsi="Verdana" w:cs="Arial"/>
          <w:sz w:val="24"/>
          <w:szCs w:val="24"/>
        </w:rPr>
        <w:t>.</w:t>
      </w:r>
      <w:r w:rsidR="00480DB5">
        <w:rPr>
          <w:rFonts w:ascii="Verdana" w:hAnsi="Verdana" w:cs="Arial"/>
          <w:sz w:val="24"/>
          <w:szCs w:val="24"/>
        </w:rPr>
        <w:t xml:space="preserve">  The only redeeming feature of</w:t>
      </w:r>
      <w:r>
        <w:rPr>
          <w:rFonts w:ascii="Verdana" w:hAnsi="Verdana" w:cs="Arial"/>
          <w:sz w:val="24"/>
          <w:szCs w:val="24"/>
        </w:rPr>
        <w:t xml:space="preserve"> this method of revenue re</w:t>
      </w:r>
      <w:r w:rsidR="00480DB5">
        <w:rPr>
          <w:rFonts w:ascii="Verdana" w:hAnsi="Verdana" w:cs="Arial"/>
          <w:sz w:val="24"/>
          <w:szCs w:val="24"/>
        </w:rPr>
        <w:t>cognition is its conservatism. But remember…conservatism is NOT a fundamental accounting principle, and still results in incorrect accounting numbers!  However, given the choice, w</w:t>
      </w:r>
      <w:r>
        <w:rPr>
          <w:rFonts w:ascii="Verdana" w:hAnsi="Verdana" w:cs="Arial"/>
          <w:sz w:val="24"/>
          <w:szCs w:val="24"/>
        </w:rPr>
        <w:t xml:space="preserve">e do appreciate </w:t>
      </w:r>
      <w:r w:rsidR="009D0A1D">
        <w:rPr>
          <w:rFonts w:ascii="Verdana" w:hAnsi="Verdana" w:cs="Arial"/>
          <w:sz w:val="24"/>
          <w:szCs w:val="24"/>
        </w:rPr>
        <w:t xml:space="preserve">the fact that Zynga </w:t>
      </w:r>
      <w:r>
        <w:rPr>
          <w:rFonts w:ascii="Verdana" w:hAnsi="Verdana" w:cs="Arial"/>
          <w:sz w:val="24"/>
          <w:szCs w:val="24"/>
        </w:rPr>
        <w:t xml:space="preserve">managers </w:t>
      </w:r>
      <w:r w:rsidR="009D0A1D">
        <w:rPr>
          <w:rFonts w:ascii="Verdana" w:hAnsi="Verdana" w:cs="Arial"/>
          <w:sz w:val="24"/>
          <w:szCs w:val="24"/>
        </w:rPr>
        <w:t xml:space="preserve">are not </w:t>
      </w:r>
      <w:r>
        <w:rPr>
          <w:rFonts w:ascii="Verdana" w:hAnsi="Verdana" w:cs="Arial"/>
          <w:sz w:val="24"/>
          <w:szCs w:val="24"/>
        </w:rPr>
        <w:t>stuff</w:t>
      </w:r>
      <w:r w:rsidR="009D0A1D">
        <w:rPr>
          <w:rFonts w:ascii="Verdana" w:hAnsi="Verdana" w:cs="Arial"/>
          <w:sz w:val="24"/>
          <w:szCs w:val="24"/>
        </w:rPr>
        <w:t>ing</w:t>
      </w:r>
      <w:r>
        <w:rPr>
          <w:rFonts w:ascii="Verdana" w:hAnsi="Verdana" w:cs="Arial"/>
          <w:sz w:val="24"/>
          <w:szCs w:val="24"/>
        </w:rPr>
        <w:t xml:space="preserve"> revenue channels with fluff</w:t>
      </w:r>
      <w:r w:rsidR="00480DB5">
        <w:rPr>
          <w:rFonts w:ascii="Verdana" w:hAnsi="Verdana" w:cs="Arial"/>
          <w:sz w:val="24"/>
          <w:szCs w:val="24"/>
        </w:rPr>
        <w:t xml:space="preserve">y </w:t>
      </w:r>
      <w:r>
        <w:rPr>
          <w:rFonts w:ascii="Verdana" w:hAnsi="Verdana" w:cs="Arial"/>
          <w:sz w:val="24"/>
          <w:szCs w:val="24"/>
        </w:rPr>
        <w:t>accruals.</w:t>
      </w:r>
    </w:p>
    <w:p w:rsidR="00527961" w:rsidRDefault="00527961" w:rsidP="00A61C2C">
      <w:pPr>
        <w:rPr>
          <w:rFonts w:ascii="Verdana" w:hAnsi="Verdana" w:cs="Arial"/>
          <w:sz w:val="24"/>
          <w:szCs w:val="24"/>
        </w:rPr>
      </w:pPr>
    </w:p>
    <w:p w:rsidR="0082531D" w:rsidRDefault="0082531D" w:rsidP="00A61C2C">
      <w:pPr>
        <w:rPr>
          <w:rFonts w:ascii="Verdana" w:hAnsi="Verdana" w:cs="Arial"/>
          <w:sz w:val="24"/>
          <w:szCs w:val="24"/>
        </w:rPr>
      </w:pPr>
      <w:r>
        <w:rPr>
          <w:rFonts w:ascii="Verdana" w:hAnsi="Verdana" w:cs="Arial"/>
          <w:sz w:val="24"/>
          <w:szCs w:val="24"/>
        </w:rPr>
        <w:t xml:space="preserve">We </w:t>
      </w:r>
      <w:r w:rsidR="00EA70D3">
        <w:rPr>
          <w:rFonts w:ascii="Verdana" w:hAnsi="Verdana" w:cs="Arial"/>
          <w:sz w:val="24"/>
          <w:szCs w:val="24"/>
        </w:rPr>
        <w:t>would prefer that Zynga record revenue as the cash streams are received, and forgo all of the subjective deferral manipulations.</w:t>
      </w:r>
      <w:r>
        <w:rPr>
          <w:rFonts w:ascii="Verdana" w:hAnsi="Verdana" w:cs="Arial"/>
          <w:sz w:val="24"/>
          <w:szCs w:val="24"/>
        </w:rPr>
        <w:t xml:space="preserve">  There is nothing to defer</w:t>
      </w:r>
      <w:r w:rsidR="00EA70D3">
        <w:rPr>
          <w:rFonts w:ascii="Verdana" w:hAnsi="Verdana" w:cs="Arial"/>
          <w:sz w:val="24"/>
          <w:szCs w:val="24"/>
        </w:rPr>
        <w:t>…it’s VIRTUAL</w:t>
      </w:r>
      <w:r>
        <w:rPr>
          <w:rFonts w:ascii="Verdana" w:hAnsi="Verdana" w:cs="Arial"/>
          <w:sz w:val="24"/>
          <w:szCs w:val="24"/>
        </w:rPr>
        <w:t xml:space="preserve">, which leads us to Zynga’s first non-GAAP </w:t>
      </w:r>
      <w:r w:rsidR="00B3618F">
        <w:rPr>
          <w:rFonts w:ascii="Verdana" w:hAnsi="Verdana" w:cs="Arial"/>
          <w:sz w:val="24"/>
          <w:szCs w:val="24"/>
        </w:rPr>
        <w:t>performance measure</w:t>
      </w:r>
      <w:r>
        <w:rPr>
          <w:rFonts w:ascii="Verdana" w:hAnsi="Verdana" w:cs="Arial"/>
          <w:sz w:val="24"/>
          <w:szCs w:val="24"/>
        </w:rPr>
        <w:t>.</w:t>
      </w:r>
    </w:p>
    <w:p w:rsidR="0082531D" w:rsidRDefault="0082531D" w:rsidP="00A61C2C">
      <w:pPr>
        <w:rPr>
          <w:rFonts w:ascii="Verdana" w:hAnsi="Verdana" w:cs="Arial"/>
          <w:sz w:val="24"/>
          <w:szCs w:val="24"/>
        </w:rPr>
      </w:pPr>
    </w:p>
    <w:p w:rsidR="00D70302" w:rsidRDefault="00D70302" w:rsidP="00A61C2C">
      <w:pPr>
        <w:rPr>
          <w:rFonts w:ascii="Verdana" w:hAnsi="Verdana" w:cs="Arial"/>
          <w:sz w:val="24"/>
          <w:szCs w:val="24"/>
        </w:rPr>
      </w:pPr>
    </w:p>
    <w:p w:rsidR="0082531D" w:rsidRPr="00EA70D3" w:rsidRDefault="00B3618F" w:rsidP="00A61C2C">
      <w:pPr>
        <w:rPr>
          <w:rFonts w:ascii="Verdana" w:hAnsi="Verdana" w:cs="Arial"/>
          <w:b/>
          <w:sz w:val="24"/>
          <w:szCs w:val="24"/>
        </w:rPr>
      </w:pPr>
      <w:r w:rsidRPr="00EA70D3">
        <w:rPr>
          <w:rFonts w:ascii="Verdana" w:hAnsi="Verdana" w:cs="Arial"/>
          <w:b/>
          <w:sz w:val="24"/>
          <w:szCs w:val="24"/>
        </w:rPr>
        <w:t>Bookings</w:t>
      </w:r>
    </w:p>
    <w:p w:rsidR="00527961" w:rsidRDefault="00527961" w:rsidP="00A61C2C">
      <w:pPr>
        <w:rPr>
          <w:rFonts w:ascii="Verdana" w:hAnsi="Verdana" w:cs="Arial"/>
          <w:sz w:val="24"/>
          <w:szCs w:val="24"/>
        </w:rPr>
      </w:pPr>
    </w:p>
    <w:p w:rsidR="00B3618F" w:rsidRDefault="004F5CE8" w:rsidP="00A61C2C">
      <w:pPr>
        <w:rPr>
          <w:rFonts w:ascii="Verdana" w:hAnsi="Verdana" w:cs="Arial"/>
          <w:sz w:val="24"/>
          <w:szCs w:val="24"/>
        </w:rPr>
      </w:pPr>
      <w:r>
        <w:rPr>
          <w:rFonts w:ascii="Verdana" w:hAnsi="Verdana" w:cs="Arial"/>
          <w:sz w:val="24"/>
          <w:szCs w:val="24"/>
        </w:rPr>
        <w:t xml:space="preserve">As we have ranted so many times in the past, </w:t>
      </w:r>
      <w:r w:rsidR="00837DE8">
        <w:rPr>
          <w:rFonts w:ascii="Verdana" w:hAnsi="Verdana" w:cs="Arial"/>
          <w:sz w:val="24"/>
          <w:szCs w:val="24"/>
        </w:rPr>
        <w:t xml:space="preserve">we don’t care for </w:t>
      </w:r>
      <w:r w:rsidR="009652C3">
        <w:rPr>
          <w:rFonts w:ascii="Verdana" w:hAnsi="Verdana" w:cs="Arial"/>
          <w:sz w:val="24"/>
          <w:szCs w:val="24"/>
        </w:rPr>
        <w:t>mo</w:t>
      </w:r>
      <w:r w:rsidR="00837DE8">
        <w:rPr>
          <w:rFonts w:ascii="Verdana" w:hAnsi="Verdana" w:cs="Arial"/>
          <w:sz w:val="24"/>
          <w:szCs w:val="24"/>
        </w:rPr>
        <w:t>st non-GAAP metrics because usually they are a function of management</w:t>
      </w:r>
      <w:r>
        <w:rPr>
          <w:rFonts w:ascii="Verdana" w:hAnsi="Verdana" w:cs="Arial"/>
          <w:sz w:val="24"/>
          <w:szCs w:val="24"/>
        </w:rPr>
        <w:t xml:space="preserve"> fiddling</w:t>
      </w:r>
      <w:r w:rsidR="00837DE8">
        <w:rPr>
          <w:rFonts w:ascii="Verdana" w:hAnsi="Verdana" w:cs="Arial"/>
          <w:sz w:val="24"/>
          <w:szCs w:val="24"/>
        </w:rPr>
        <w:t xml:space="preserve">, and the melodies hurt our ears.  </w:t>
      </w:r>
      <w:r>
        <w:rPr>
          <w:rFonts w:ascii="Verdana" w:hAnsi="Verdana" w:cs="Arial"/>
          <w:sz w:val="24"/>
          <w:szCs w:val="24"/>
        </w:rPr>
        <w:t>However, t</w:t>
      </w:r>
      <w:r w:rsidR="00837DE8">
        <w:rPr>
          <w:rFonts w:ascii="Verdana" w:hAnsi="Verdana" w:cs="Arial"/>
          <w:sz w:val="24"/>
          <w:szCs w:val="24"/>
        </w:rPr>
        <w:t xml:space="preserve">he bookings measure is different.  </w:t>
      </w:r>
      <w:r>
        <w:rPr>
          <w:rFonts w:ascii="Verdana" w:hAnsi="Verdana" w:cs="Arial"/>
          <w:sz w:val="24"/>
          <w:szCs w:val="24"/>
        </w:rPr>
        <w:t>“</w:t>
      </w:r>
      <w:r w:rsidR="00837DE8">
        <w:rPr>
          <w:rFonts w:ascii="Verdana" w:hAnsi="Verdana" w:cs="Arial"/>
          <w:sz w:val="24"/>
          <w:szCs w:val="24"/>
        </w:rPr>
        <w:t>Bookings</w:t>
      </w:r>
      <w:r>
        <w:rPr>
          <w:rFonts w:ascii="Verdana" w:hAnsi="Verdana" w:cs="Arial"/>
          <w:sz w:val="24"/>
          <w:szCs w:val="24"/>
        </w:rPr>
        <w:t>”</w:t>
      </w:r>
      <w:r w:rsidR="00837DE8">
        <w:rPr>
          <w:rFonts w:ascii="Verdana" w:hAnsi="Verdana" w:cs="Arial"/>
          <w:sz w:val="24"/>
          <w:szCs w:val="24"/>
        </w:rPr>
        <w:t xml:space="preserve"> is revenue </w:t>
      </w:r>
      <w:r>
        <w:rPr>
          <w:rFonts w:ascii="Verdana" w:hAnsi="Verdana" w:cs="Arial"/>
          <w:sz w:val="24"/>
          <w:szCs w:val="24"/>
        </w:rPr>
        <w:t xml:space="preserve">plus current period </w:t>
      </w:r>
      <w:r w:rsidR="00837DE8">
        <w:rPr>
          <w:rFonts w:ascii="Verdana" w:hAnsi="Verdana" w:cs="Arial"/>
          <w:sz w:val="24"/>
          <w:szCs w:val="24"/>
        </w:rPr>
        <w:t>deferred revenue</w:t>
      </w:r>
      <w:r>
        <w:rPr>
          <w:rFonts w:ascii="Verdana" w:hAnsi="Verdana" w:cs="Arial"/>
          <w:sz w:val="24"/>
          <w:szCs w:val="24"/>
        </w:rPr>
        <w:t>.  So, this</w:t>
      </w:r>
      <w:r w:rsidR="00853348">
        <w:rPr>
          <w:rFonts w:ascii="Verdana" w:hAnsi="Verdana" w:cs="Arial"/>
          <w:sz w:val="24"/>
          <w:szCs w:val="24"/>
        </w:rPr>
        <w:t xml:space="preserve"> so-called non-GAAP measure ‘bookings’ is exactly what we think GAAP revenues should be!</w:t>
      </w:r>
    </w:p>
    <w:p w:rsidR="00853348" w:rsidRDefault="00853348" w:rsidP="00A61C2C">
      <w:pPr>
        <w:rPr>
          <w:rFonts w:ascii="Verdana" w:hAnsi="Verdana" w:cs="Arial"/>
          <w:sz w:val="24"/>
          <w:szCs w:val="24"/>
        </w:rPr>
      </w:pPr>
    </w:p>
    <w:p w:rsidR="00853348" w:rsidRDefault="004F5CE8" w:rsidP="00A61C2C">
      <w:pPr>
        <w:rPr>
          <w:rFonts w:ascii="Verdana" w:hAnsi="Verdana" w:cs="Arial"/>
          <w:sz w:val="24"/>
          <w:szCs w:val="24"/>
        </w:rPr>
      </w:pPr>
      <w:r>
        <w:rPr>
          <w:rFonts w:ascii="Verdana" w:hAnsi="Verdana" w:cs="Arial"/>
          <w:sz w:val="24"/>
          <w:szCs w:val="24"/>
        </w:rPr>
        <w:t>And this revenue-bookings distinction</w:t>
      </w:r>
      <w:r w:rsidR="00853348">
        <w:rPr>
          <w:rFonts w:ascii="Verdana" w:hAnsi="Verdana" w:cs="Arial"/>
          <w:sz w:val="24"/>
          <w:szCs w:val="24"/>
        </w:rPr>
        <w:t xml:space="preserve"> makes a huge difference when d</w:t>
      </w:r>
      <w:r>
        <w:rPr>
          <w:rFonts w:ascii="Verdana" w:hAnsi="Verdana" w:cs="Arial"/>
          <w:sz w:val="24"/>
          <w:szCs w:val="24"/>
        </w:rPr>
        <w:t xml:space="preserve">iscerning growth.  When looking at reported </w:t>
      </w:r>
      <w:r w:rsidR="00853348">
        <w:rPr>
          <w:rFonts w:ascii="Verdana" w:hAnsi="Verdana" w:cs="Arial"/>
          <w:sz w:val="24"/>
          <w:szCs w:val="24"/>
        </w:rPr>
        <w:t xml:space="preserve">revenues, </w:t>
      </w:r>
      <w:r w:rsidR="00124510">
        <w:rPr>
          <w:rFonts w:ascii="Verdana" w:hAnsi="Verdana" w:cs="Arial"/>
          <w:sz w:val="24"/>
          <w:szCs w:val="24"/>
        </w:rPr>
        <w:t xml:space="preserve">2010 revenues are 4.9 times 2009 revenues and 2011 revenues are 1.9 </w:t>
      </w:r>
      <w:r>
        <w:rPr>
          <w:rFonts w:ascii="Verdana" w:hAnsi="Verdana" w:cs="Arial"/>
          <w:sz w:val="24"/>
          <w:szCs w:val="24"/>
        </w:rPr>
        <w:t>times 2010 revenues.  While impressive</w:t>
      </w:r>
      <w:r w:rsidR="00124510">
        <w:rPr>
          <w:rFonts w:ascii="Verdana" w:hAnsi="Verdana" w:cs="Arial"/>
          <w:sz w:val="24"/>
          <w:szCs w:val="24"/>
        </w:rPr>
        <w:t xml:space="preserve">, </w:t>
      </w:r>
      <w:r>
        <w:rPr>
          <w:rFonts w:ascii="Verdana" w:hAnsi="Verdana" w:cs="Arial"/>
          <w:sz w:val="24"/>
          <w:szCs w:val="24"/>
        </w:rPr>
        <w:t xml:space="preserve">these </w:t>
      </w:r>
      <w:r w:rsidRPr="001E151E">
        <w:rPr>
          <w:rFonts w:ascii="Verdana" w:hAnsi="Verdana" w:cs="Arial"/>
          <w:b/>
          <w:i/>
          <w:sz w:val="24"/>
          <w:szCs w:val="24"/>
        </w:rPr>
        <w:t xml:space="preserve">reported revenues exaggerate </w:t>
      </w:r>
      <w:r w:rsidR="00124510" w:rsidRPr="001E151E">
        <w:rPr>
          <w:rFonts w:ascii="Verdana" w:hAnsi="Verdana" w:cs="Arial"/>
          <w:b/>
          <w:i/>
          <w:sz w:val="24"/>
          <w:szCs w:val="24"/>
        </w:rPr>
        <w:t>true gr</w:t>
      </w:r>
      <w:r w:rsidR="001E151E" w:rsidRPr="001E151E">
        <w:rPr>
          <w:rFonts w:ascii="Verdana" w:hAnsi="Verdana" w:cs="Arial"/>
          <w:b/>
          <w:i/>
          <w:sz w:val="24"/>
          <w:szCs w:val="24"/>
        </w:rPr>
        <w:t>owth</w:t>
      </w:r>
      <w:r w:rsidR="001E151E">
        <w:rPr>
          <w:rFonts w:ascii="Verdana" w:hAnsi="Verdana" w:cs="Arial"/>
          <w:sz w:val="24"/>
          <w:szCs w:val="24"/>
        </w:rPr>
        <w:t xml:space="preserve">, which is better evaluated using the </w:t>
      </w:r>
      <w:r w:rsidR="00124510">
        <w:rPr>
          <w:rFonts w:ascii="Verdana" w:hAnsi="Verdana" w:cs="Arial"/>
          <w:sz w:val="24"/>
          <w:szCs w:val="24"/>
        </w:rPr>
        <w:t>bookings</w:t>
      </w:r>
      <w:r w:rsidR="001E151E">
        <w:rPr>
          <w:rFonts w:ascii="Verdana" w:hAnsi="Verdana" w:cs="Arial"/>
          <w:sz w:val="24"/>
          <w:szCs w:val="24"/>
        </w:rPr>
        <w:t xml:space="preserve"> metric</w:t>
      </w:r>
      <w:r w:rsidR="00124510">
        <w:rPr>
          <w:rFonts w:ascii="Verdana" w:hAnsi="Verdana" w:cs="Arial"/>
          <w:sz w:val="24"/>
          <w:szCs w:val="24"/>
        </w:rPr>
        <w:t xml:space="preserve">.  Zynga’s 2010 bookings are 2.6 times 2009 bookings plus 2011 bookings are 1.4 times 2010 bookings.  We think </w:t>
      </w:r>
      <w:r w:rsidR="001E151E">
        <w:rPr>
          <w:rFonts w:ascii="Verdana" w:hAnsi="Verdana" w:cs="Arial"/>
          <w:sz w:val="24"/>
          <w:szCs w:val="24"/>
        </w:rPr>
        <w:t xml:space="preserve">bookings </w:t>
      </w:r>
      <w:r w:rsidR="00124510">
        <w:rPr>
          <w:rFonts w:ascii="Verdana" w:hAnsi="Verdana" w:cs="Arial"/>
          <w:sz w:val="24"/>
          <w:szCs w:val="24"/>
        </w:rPr>
        <w:t xml:space="preserve">more accurately capture </w:t>
      </w:r>
      <w:proofErr w:type="spellStart"/>
      <w:r w:rsidR="00124510">
        <w:rPr>
          <w:rFonts w:ascii="Verdana" w:hAnsi="Verdana" w:cs="Arial"/>
          <w:sz w:val="24"/>
          <w:szCs w:val="24"/>
        </w:rPr>
        <w:t>Zynga’s</w:t>
      </w:r>
      <w:proofErr w:type="spellEnd"/>
      <w:r w:rsidR="00124510">
        <w:rPr>
          <w:rFonts w:ascii="Verdana" w:hAnsi="Verdana" w:cs="Arial"/>
          <w:sz w:val="24"/>
          <w:szCs w:val="24"/>
        </w:rPr>
        <w:t xml:space="preserve"> growth.</w:t>
      </w:r>
      <w:r w:rsidR="001E151E">
        <w:rPr>
          <w:rFonts w:ascii="Verdana" w:hAnsi="Verdana" w:cs="Arial"/>
          <w:sz w:val="24"/>
          <w:szCs w:val="24"/>
        </w:rPr>
        <w:t xml:space="preserve"> </w:t>
      </w:r>
    </w:p>
    <w:p w:rsidR="00124510" w:rsidRDefault="00124510" w:rsidP="00A61C2C">
      <w:pPr>
        <w:rPr>
          <w:rFonts w:ascii="Verdana" w:hAnsi="Verdana" w:cs="Arial"/>
          <w:sz w:val="24"/>
          <w:szCs w:val="24"/>
        </w:rPr>
      </w:pPr>
    </w:p>
    <w:p w:rsidR="009652C3" w:rsidRDefault="009652C3" w:rsidP="00A61C2C">
      <w:pPr>
        <w:rPr>
          <w:rFonts w:ascii="Verdana" w:hAnsi="Verdana" w:cs="Arial"/>
          <w:sz w:val="24"/>
          <w:szCs w:val="24"/>
        </w:rPr>
      </w:pPr>
      <w:r>
        <w:rPr>
          <w:rFonts w:ascii="Verdana" w:hAnsi="Verdana" w:cs="Arial"/>
          <w:sz w:val="24"/>
          <w:szCs w:val="24"/>
        </w:rPr>
        <w:t>Hmmm</w:t>
      </w:r>
      <w:r w:rsidR="001E151E">
        <w:rPr>
          <w:rFonts w:ascii="Verdana" w:hAnsi="Verdana" w:cs="Arial"/>
          <w:sz w:val="24"/>
          <w:szCs w:val="24"/>
        </w:rPr>
        <w:t>…m</w:t>
      </w:r>
      <w:r>
        <w:rPr>
          <w:rFonts w:ascii="Verdana" w:hAnsi="Verdana" w:cs="Arial"/>
          <w:sz w:val="24"/>
          <w:szCs w:val="24"/>
        </w:rPr>
        <w:t>aybe the revenue recognition method w</w:t>
      </w:r>
      <w:r w:rsidR="001E151E">
        <w:rPr>
          <w:rFonts w:ascii="Verdana" w:hAnsi="Verdana" w:cs="Arial"/>
          <w:sz w:val="24"/>
          <w:szCs w:val="24"/>
        </w:rPr>
        <w:t>asn’t so conservative after all!</w:t>
      </w:r>
    </w:p>
    <w:p w:rsidR="00124510" w:rsidRDefault="00124510" w:rsidP="00A61C2C">
      <w:pPr>
        <w:rPr>
          <w:rFonts w:ascii="Verdana" w:hAnsi="Verdana" w:cs="Arial"/>
          <w:sz w:val="24"/>
          <w:szCs w:val="24"/>
        </w:rPr>
      </w:pPr>
    </w:p>
    <w:p w:rsidR="00D4458B" w:rsidRDefault="00D4458B" w:rsidP="00A61C2C">
      <w:pPr>
        <w:rPr>
          <w:rFonts w:ascii="Verdana" w:hAnsi="Verdana" w:cs="Arial"/>
          <w:sz w:val="24"/>
          <w:szCs w:val="24"/>
        </w:rPr>
      </w:pPr>
    </w:p>
    <w:p w:rsidR="00124510" w:rsidRPr="006A5825" w:rsidRDefault="00124510" w:rsidP="00A61C2C">
      <w:pPr>
        <w:rPr>
          <w:rFonts w:ascii="Verdana" w:hAnsi="Verdana" w:cs="Arial"/>
          <w:b/>
          <w:sz w:val="24"/>
          <w:szCs w:val="24"/>
        </w:rPr>
      </w:pPr>
      <w:r w:rsidRPr="006A5825">
        <w:rPr>
          <w:rFonts w:ascii="Verdana" w:hAnsi="Verdana" w:cs="Arial"/>
          <w:b/>
          <w:sz w:val="24"/>
          <w:szCs w:val="24"/>
        </w:rPr>
        <w:t>Adjusted EBITDA</w:t>
      </w:r>
    </w:p>
    <w:p w:rsidR="00A61C2C" w:rsidRDefault="00A61C2C" w:rsidP="00A61C2C">
      <w:pPr>
        <w:pStyle w:val="BodyText"/>
        <w:spacing w:line="240" w:lineRule="auto"/>
        <w:rPr>
          <w:rFonts w:ascii="Verdana" w:hAnsi="Verdana"/>
          <w:szCs w:val="24"/>
        </w:rPr>
      </w:pPr>
    </w:p>
    <w:p w:rsidR="009652C3" w:rsidRDefault="00CE5101" w:rsidP="00A61C2C">
      <w:pPr>
        <w:pStyle w:val="BodyText"/>
        <w:spacing w:line="240" w:lineRule="auto"/>
        <w:rPr>
          <w:rFonts w:ascii="Verdana" w:hAnsi="Verdana"/>
          <w:szCs w:val="24"/>
        </w:rPr>
      </w:pPr>
      <w:r>
        <w:rPr>
          <w:rFonts w:ascii="Verdana" w:hAnsi="Verdana"/>
          <w:szCs w:val="24"/>
        </w:rPr>
        <w:t xml:space="preserve">EBITDA is foolish to begin with, as it lacks meaning and has </w:t>
      </w:r>
      <w:hyperlink r:id="rId6" w:history="1">
        <w:r w:rsidRPr="006627DB">
          <w:rPr>
            <w:rStyle w:val="Hyperlink"/>
            <w:rFonts w:ascii="Verdana" w:hAnsi="Verdana"/>
            <w:szCs w:val="24"/>
          </w:rPr>
          <w:t>no construct validity</w:t>
        </w:r>
      </w:hyperlink>
      <w:r>
        <w:rPr>
          <w:rFonts w:ascii="Verdana" w:hAnsi="Verdana"/>
          <w:szCs w:val="24"/>
        </w:rPr>
        <w:t>.  Yet Zynga continues its adjusted</w:t>
      </w:r>
      <w:r w:rsidR="009652C3">
        <w:rPr>
          <w:rFonts w:ascii="Verdana" w:hAnsi="Verdana"/>
          <w:szCs w:val="24"/>
        </w:rPr>
        <w:t xml:space="preserve"> </w:t>
      </w:r>
      <w:r w:rsidR="009652C3" w:rsidRPr="006627DB">
        <w:rPr>
          <w:rFonts w:ascii="Verdana" w:hAnsi="Verdana"/>
          <w:szCs w:val="24"/>
        </w:rPr>
        <w:t>EBITDA nonsense</w:t>
      </w:r>
      <w:r>
        <w:rPr>
          <w:rFonts w:ascii="Verdana" w:hAnsi="Verdana"/>
          <w:szCs w:val="24"/>
        </w:rPr>
        <w:t xml:space="preserve">. </w:t>
      </w:r>
      <w:r w:rsidR="00E369B9">
        <w:rPr>
          <w:rFonts w:ascii="Verdana" w:hAnsi="Verdana"/>
          <w:szCs w:val="24"/>
        </w:rPr>
        <w:t>However, t</w:t>
      </w:r>
      <w:r w:rsidR="009652C3">
        <w:rPr>
          <w:rFonts w:ascii="Verdana" w:hAnsi="Verdana"/>
          <w:szCs w:val="24"/>
        </w:rPr>
        <w:t xml:space="preserve">he firm does not use conventional EBITDA, </w:t>
      </w:r>
      <w:r>
        <w:rPr>
          <w:rFonts w:ascii="Verdana" w:hAnsi="Verdana"/>
          <w:szCs w:val="24"/>
        </w:rPr>
        <w:t xml:space="preserve">instead pretending that other expenses </w:t>
      </w:r>
      <w:r w:rsidR="009652C3">
        <w:rPr>
          <w:rFonts w:ascii="Verdana" w:hAnsi="Verdana"/>
          <w:szCs w:val="24"/>
        </w:rPr>
        <w:t>don’t exist.</w:t>
      </w:r>
    </w:p>
    <w:p w:rsidR="009652C3" w:rsidRPr="00656A82" w:rsidRDefault="009652C3" w:rsidP="00A61C2C">
      <w:pPr>
        <w:pStyle w:val="BodyText"/>
        <w:spacing w:line="240" w:lineRule="auto"/>
        <w:rPr>
          <w:rFonts w:ascii="Verdana" w:hAnsi="Verdana"/>
          <w:szCs w:val="24"/>
        </w:rPr>
      </w:pPr>
    </w:p>
    <w:p w:rsidR="00A61C2C" w:rsidRDefault="00964542" w:rsidP="00A61C2C">
      <w:pPr>
        <w:rPr>
          <w:rFonts w:ascii="Verdana" w:hAnsi="Verdana" w:cs="Arial"/>
          <w:sz w:val="24"/>
          <w:szCs w:val="24"/>
        </w:rPr>
      </w:pPr>
      <w:r>
        <w:rPr>
          <w:rFonts w:ascii="Verdana" w:hAnsi="Verdana" w:cs="Arial"/>
          <w:sz w:val="24"/>
          <w:szCs w:val="24"/>
        </w:rPr>
        <w:lastRenderedPageBreak/>
        <w:t>Besides subtracting interest, taxes, and depreciation (and amortiza</w:t>
      </w:r>
      <w:r w:rsidR="00CE5101">
        <w:rPr>
          <w:rFonts w:ascii="Verdana" w:hAnsi="Verdana" w:cs="Arial"/>
          <w:sz w:val="24"/>
          <w:szCs w:val="24"/>
        </w:rPr>
        <w:t xml:space="preserve">tion) from earnings, the Company also adjusts for </w:t>
      </w:r>
      <w:r w:rsidRPr="00CE5101">
        <w:rPr>
          <w:rFonts w:ascii="Verdana" w:hAnsi="Verdana" w:cs="Arial"/>
          <w:b/>
          <w:sz w:val="24"/>
          <w:szCs w:val="24"/>
        </w:rPr>
        <w:t xml:space="preserve">deferred revenue, losses from legal settlements, and stock-based compensation. </w:t>
      </w:r>
      <w:r>
        <w:rPr>
          <w:rFonts w:ascii="Verdana" w:hAnsi="Verdana" w:cs="Arial"/>
          <w:sz w:val="24"/>
          <w:szCs w:val="24"/>
        </w:rPr>
        <w:t xml:space="preserve"> Ok</w:t>
      </w:r>
      <w:r w:rsidR="00CE5101">
        <w:rPr>
          <w:rFonts w:ascii="Verdana" w:hAnsi="Verdana" w:cs="Arial"/>
          <w:sz w:val="24"/>
          <w:szCs w:val="24"/>
        </w:rPr>
        <w:t>ay</w:t>
      </w:r>
      <w:r>
        <w:rPr>
          <w:rFonts w:ascii="Verdana" w:hAnsi="Verdana" w:cs="Arial"/>
          <w:sz w:val="24"/>
          <w:szCs w:val="24"/>
        </w:rPr>
        <w:t xml:space="preserve">, given our </w:t>
      </w:r>
      <w:r w:rsidR="00CE5101">
        <w:rPr>
          <w:rFonts w:ascii="Verdana" w:hAnsi="Verdana" w:cs="Arial"/>
          <w:sz w:val="24"/>
          <w:szCs w:val="24"/>
        </w:rPr>
        <w:t xml:space="preserve">previous </w:t>
      </w:r>
      <w:r>
        <w:rPr>
          <w:rFonts w:ascii="Verdana" w:hAnsi="Verdana" w:cs="Arial"/>
          <w:sz w:val="24"/>
          <w:szCs w:val="24"/>
        </w:rPr>
        <w:t>comm</w:t>
      </w:r>
      <w:r w:rsidR="00CE5101">
        <w:rPr>
          <w:rFonts w:ascii="Verdana" w:hAnsi="Verdana" w:cs="Arial"/>
          <w:sz w:val="24"/>
          <w:szCs w:val="24"/>
        </w:rPr>
        <w:t>ents</w:t>
      </w:r>
      <w:r>
        <w:rPr>
          <w:rFonts w:ascii="Verdana" w:hAnsi="Verdana" w:cs="Arial"/>
          <w:sz w:val="24"/>
          <w:szCs w:val="24"/>
        </w:rPr>
        <w:t>, we c</w:t>
      </w:r>
      <w:r w:rsidR="00CE5101">
        <w:rPr>
          <w:rFonts w:ascii="Verdana" w:hAnsi="Verdana" w:cs="Arial"/>
          <w:sz w:val="24"/>
          <w:szCs w:val="24"/>
        </w:rPr>
        <w:t>an accept the deferred revenue add back</w:t>
      </w:r>
      <w:r>
        <w:rPr>
          <w:rFonts w:ascii="Verdana" w:hAnsi="Verdana" w:cs="Arial"/>
          <w:sz w:val="24"/>
          <w:szCs w:val="24"/>
        </w:rPr>
        <w:t>, but only because it repairs the distortions introduced by the entity’s revenue recognition.</w:t>
      </w:r>
    </w:p>
    <w:p w:rsidR="00964542" w:rsidRDefault="00964542" w:rsidP="00A61C2C">
      <w:pPr>
        <w:rPr>
          <w:rFonts w:ascii="Verdana" w:hAnsi="Verdana" w:cs="Arial"/>
          <w:sz w:val="24"/>
          <w:szCs w:val="24"/>
        </w:rPr>
      </w:pPr>
    </w:p>
    <w:p w:rsidR="00964542" w:rsidRDefault="00964542" w:rsidP="00A61C2C">
      <w:pPr>
        <w:rPr>
          <w:rFonts w:ascii="Verdana" w:hAnsi="Verdana" w:cs="Arial"/>
          <w:sz w:val="24"/>
          <w:szCs w:val="24"/>
        </w:rPr>
      </w:pPr>
      <w:r>
        <w:rPr>
          <w:rFonts w:ascii="Verdana" w:hAnsi="Verdana" w:cs="Arial"/>
          <w:sz w:val="24"/>
          <w:szCs w:val="24"/>
        </w:rPr>
        <w:t xml:space="preserve">But, </w:t>
      </w:r>
      <w:r w:rsidR="00CE5101">
        <w:rPr>
          <w:rFonts w:ascii="Verdana" w:hAnsi="Verdana" w:cs="Arial"/>
          <w:sz w:val="24"/>
          <w:szCs w:val="24"/>
        </w:rPr>
        <w:t xml:space="preserve">ignoring </w:t>
      </w:r>
      <w:r>
        <w:rPr>
          <w:rFonts w:ascii="Verdana" w:hAnsi="Verdana" w:cs="Arial"/>
          <w:sz w:val="24"/>
          <w:szCs w:val="24"/>
        </w:rPr>
        <w:t xml:space="preserve">losses </w:t>
      </w:r>
      <w:r w:rsidR="00CE5101">
        <w:rPr>
          <w:rFonts w:ascii="Verdana" w:hAnsi="Verdana" w:cs="Arial"/>
          <w:sz w:val="24"/>
          <w:szCs w:val="24"/>
        </w:rPr>
        <w:t>from legal settlements it silly!</w:t>
      </w:r>
      <w:r>
        <w:rPr>
          <w:rFonts w:ascii="Verdana" w:hAnsi="Verdana" w:cs="Arial"/>
          <w:sz w:val="24"/>
          <w:szCs w:val="24"/>
        </w:rPr>
        <w:t xml:space="preserve">  These are real gains and losses</w:t>
      </w:r>
      <w:r w:rsidR="00CE5101">
        <w:rPr>
          <w:rFonts w:ascii="Verdana" w:hAnsi="Verdana" w:cs="Arial"/>
          <w:sz w:val="24"/>
          <w:szCs w:val="24"/>
        </w:rPr>
        <w:t>,</w:t>
      </w:r>
      <w:r>
        <w:rPr>
          <w:rFonts w:ascii="Verdana" w:hAnsi="Verdana" w:cs="Arial"/>
          <w:sz w:val="24"/>
          <w:szCs w:val="24"/>
        </w:rPr>
        <w:t xml:space="preserve"> and it is a sad commentary about America that they are recurring costs in the corporate sector.  Also stock-b</w:t>
      </w:r>
      <w:r w:rsidR="00CE5101">
        <w:rPr>
          <w:rFonts w:ascii="Verdana" w:hAnsi="Verdana" w:cs="Arial"/>
          <w:sz w:val="24"/>
          <w:szCs w:val="24"/>
        </w:rPr>
        <w:t>ased compensation is very real…if it w</w:t>
      </w:r>
      <w:r w:rsidR="00D4458B">
        <w:rPr>
          <w:rFonts w:ascii="Verdana" w:hAnsi="Verdana" w:cs="Arial"/>
          <w:sz w:val="24"/>
          <w:szCs w:val="24"/>
        </w:rPr>
        <w:t>ere</w:t>
      </w:r>
      <w:r w:rsidR="00CE5101">
        <w:rPr>
          <w:rFonts w:ascii="Verdana" w:hAnsi="Verdana" w:cs="Arial"/>
          <w:sz w:val="24"/>
          <w:szCs w:val="24"/>
        </w:rPr>
        <w:t>n’t</w:t>
      </w:r>
      <w:r w:rsidR="00D4458B">
        <w:rPr>
          <w:rFonts w:ascii="Verdana" w:hAnsi="Verdana" w:cs="Arial"/>
          <w:sz w:val="24"/>
          <w:szCs w:val="24"/>
        </w:rPr>
        <w:t>,</w:t>
      </w:r>
      <w:r w:rsidR="00CE5101">
        <w:rPr>
          <w:rFonts w:ascii="Verdana" w:hAnsi="Verdana" w:cs="Arial"/>
          <w:sz w:val="24"/>
          <w:szCs w:val="24"/>
        </w:rPr>
        <w:t xml:space="preserve"> </w:t>
      </w:r>
      <w:r>
        <w:rPr>
          <w:rFonts w:ascii="Verdana" w:hAnsi="Verdana" w:cs="Arial"/>
          <w:sz w:val="24"/>
          <w:szCs w:val="24"/>
        </w:rPr>
        <w:t xml:space="preserve">corporations would quit stock buybacks to </w:t>
      </w:r>
      <w:r w:rsidR="00CD03CB">
        <w:rPr>
          <w:rFonts w:ascii="Verdana" w:hAnsi="Verdana" w:cs="Arial"/>
          <w:sz w:val="24"/>
          <w:szCs w:val="24"/>
        </w:rPr>
        <w:t>wipe up the EPS dilution.  To make matters worse</w:t>
      </w:r>
      <w:r>
        <w:rPr>
          <w:rFonts w:ascii="Verdana" w:hAnsi="Verdana" w:cs="Arial"/>
          <w:sz w:val="24"/>
          <w:szCs w:val="24"/>
        </w:rPr>
        <w:t xml:space="preserve">, this idiosyncratic </w:t>
      </w:r>
      <w:r w:rsidR="00CD03CB">
        <w:rPr>
          <w:rFonts w:ascii="Verdana" w:hAnsi="Verdana" w:cs="Arial"/>
          <w:sz w:val="24"/>
          <w:szCs w:val="24"/>
        </w:rPr>
        <w:t xml:space="preserve">and firm-specific </w:t>
      </w:r>
      <w:r>
        <w:rPr>
          <w:rFonts w:ascii="Verdana" w:hAnsi="Verdana" w:cs="Arial"/>
          <w:sz w:val="24"/>
          <w:szCs w:val="24"/>
        </w:rPr>
        <w:t>form of EBITDA lacks comparabilit</w:t>
      </w:r>
      <w:r w:rsidR="00CD03CB">
        <w:rPr>
          <w:rFonts w:ascii="Verdana" w:hAnsi="Verdana" w:cs="Arial"/>
          <w:sz w:val="24"/>
          <w:szCs w:val="24"/>
        </w:rPr>
        <w:t>y with other companies</w:t>
      </w:r>
      <w:r>
        <w:rPr>
          <w:rFonts w:ascii="Verdana" w:hAnsi="Verdana" w:cs="Arial"/>
          <w:sz w:val="24"/>
          <w:szCs w:val="24"/>
        </w:rPr>
        <w:t>.  Apparently top managers at Zynga want you to believe these pos</w:t>
      </w:r>
      <w:r w:rsidR="00CD03CB">
        <w:rPr>
          <w:rFonts w:ascii="Verdana" w:hAnsi="Verdana" w:cs="Arial"/>
          <w:sz w:val="24"/>
          <w:szCs w:val="24"/>
        </w:rPr>
        <w:t>itive figures even if you can’t</w:t>
      </w:r>
      <w:r>
        <w:rPr>
          <w:rFonts w:ascii="Verdana" w:hAnsi="Verdana" w:cs="Arial"/>
          <w:sz w:val="24"/>
          <w:szCs w:val="24"/>
        </w:rPr>
        <w:t xml:space="preserve"> interpret them.</w:t>
      </w:r>
    </w:p>
    <w:p w:rsidR="00E369B9" w:rsidRDefault="00E369B9" w:rsidP="00A61C2C">
      <w:pPr>
        <w:rPr>
          <w:rFonts w:ascii="Verdana" w:hAnsi="Verdana" w:cs="Arial"/>
          <w:sz w:val="24"/>
          <w:szCs w:val="24"/>
        </w:rPr>
      </w:pPr>
    </w:p>
    <w:p w:rsidR="00E369B9" w:rsidRDefault="00E369B9" w:rsidP="00A61C2C">
      <w:pPr>
        <w:rPr>
          <w:rFonts w:ascii="Verdana" w:hAnsi="Verdana" w:cs="Arial"/>
          <w:sz w:val="24"/>
          <w:szCs w:val="24"/>
        </w:rPr>
      </w:pPr>
      <w:r>
        <w:rPr>
          <w:rFonts w:ascii="Verdana" w:hAnsi="Verdana" w:cs="Arial"/>
          <w:sz w:val="24"/>
          <w:szCs w:val="24"/>
        </w:rPr>
        <w:t xml:space="preserve">Any analyst who reads </w:t>
      </w:r>
      <w:r w:rsidR="00CD03CB">
        <w:rPr>
          <w:rFonts w:ascii="Verdana" w:hAnsi="Verdana" w:cs="Arial"/>
          <w:sz w:val="24"/>
          <w:szCs w:val="24"/>
        </w:rPr>
        <w:t xml:space="preserve">(and believes) </w:t>
      </w:r>
      <w:r>
        <w:rPr>
          <w:rFonts w:ascii="Verdana" w:hAnsi="Verdana" w:cs="Arial"/>
          <w:sz w:val="24"/>
          <w:szCs w:val="24"/>
        </w:rPr>
        <w:t>these adjusted EBITDA numbers should have all business degrees rescinded</w:t>
      </w:r>
      <w:r w:rsidR="00CD03CB">
        <w:rPr>
          <w:rFonts w:ascii="Verdana" w:hAnsi="Verdana" w:cs="Arial"/>
          <w:sz w:val="24"/>
          <w:szCs w:val="24"/>
        </w:rPr>
        <w:t xml:space="preserve"> (that would be the sell-side folks)</w:t>
      </w:r>
      <w:r>
        <w:rPr>
          <w:rFonts w:ascii="Verdana" w:hAnsi="Verdana" w:cs="Arial"/>
          <w:sz w:val="24"/>
          <w:szCs w:val="24"/>
        </w:rPr>
        <w:t xml:space="preserve">.  We suggest </w:t>
      </w:r>
      <w:r w:rsidR="00CD03CB">
        <w:rPr>
          <w:rFonts w:ascii="Verdana" w:hAnsi="Verdana" w:cs="Arial"/>
          <w:sz w:val="24"/>
          <w:szCs w:val="24"/>
        </w:rPr>
        <w:t xml:space="preserve">that their MBAs </w:t>
      </w:r>
      <w:r>
        <w:rPr>
          <w:rFonts w:ascii="Verdana" w:hAnsi="Verdana" w:cs="Arial"/>
          <w:sz w:val="24"/>
          <w:szCs w:val="24"/>
        </w:rPr>
        <w:t>be replaced with an MFA for creative writing.</w:t>
      </w:r>
    </w:p>
    <w:p w:rsidR="00E369B9" w:rsidRDefault="00E369B9" w:rsidP="00A61C2C">
      <w:pPr>
        <w:rPr>
          <w:rFonts w:ascii="Verdana" w:hAnsi="Verdana" w:cs="Arial"/>
          <w:sz w:val="24"/>
          <w:szCs w:val="24"/>
        </w:rPr>
      </w:pPr>
    </w:p>
    <w:p w:rsidR="00D4458B" w:rsidRDefault="00D4458B" w:rsidP="00A61C2C">
      <w:pPr>
        <w:rPr>
          <w:rFonts w:ascii="Verdana" w:hAnsi="Verdana" w:cs="Arial"/>
          <w:sz w:val="24"/>
          <w:szCs w:val="24"/>
        </w:rPr>
      </w:pPr>
    </w:p>
    <w:p w:rsidR="00E369B9" w:rsidRPr="00185588" w:rsidRDefault="00185588" w:rsidP="00A61C2C">
      <w:pPr>
        <w:rPr>
          <w:rFonts w:ascii="Verdana" w:hAnsi="Verdana" w:cs="Arial"/>
          <w:b/>
          <w:sz w:val="24"/>
          <w:szCs w:val="24"/>
        </w:rPr>
      </w:pPr>
      <w:r>
        <w:rPr>
          <w:rFonts w:ascii="Verdana" w:hAnsi="Verdana" w:cs="Arial"/>
          <w:b/>
          <w:sz w:val="24"/>
          <w:szCs w:val="24"/>
        </w:rPr>
        <w:t>Unreported Lease O</w:t>
      </w:r>
      <w:r w:rsidR="00E369B9" w:rsidRPr="00185588">
        <w:rPr>
          <w:rFonts w:ascii="Verdana" w:hAnsi="Verdana" w:cs="Arial"/>
          <w:b/>
          <w:sz w:val="24"/>
          <w:szCs w:val="24"/>
        </w:rPr>
        <w:t>bligations</w:t>
      </w:r>
    </w:p>
    <w:p w:rsidR="00E369B9" w:rsidRDefault="00E369B9" w:rsidP="00A61C2C">
      <w:pPr>
        <w:rPr>
          <w:rFonts w:ascii="Verdana" w:hAnsi="Verdana" w:cs="Arial"/>
          <w:sz w:val="24"/>
          <w:szCs w:val="24"/>
        </w:rPr>
      </w:pPr>
    </w:p>
    <w:p w:rsidR="00E369B9" w:rsidRDefault="006627DB" w:rsidP="00A61C2C">
      <w:pPr>
        <w:rPr>
          <w:rFonts w:ascii="Verdana" w:hAnsi="Verdana" w:cs="Arial"/>
          <w:sz w:val="24"/>
          <w:szCs w:val="24"/>
        </w:rPr>
      </w:pPr>
      <w:r>
        <w:rPr>
          <w:rFonts w:ascii="Verdana" w:hAnsi="Verdana" w:cs="Arial"/>
          <w:sz w:val="24"/>
          <w:szCs w:val="24"/>
        </w:rPr>
        <w:t xml:space="preserve">Not too long ago we described </w:t>
      </w:r>
      <w:hyperlink r:id="rId7" w:history="1">
        <w:r w:rsidRPr="006627DB">
          <w:rPr>
            <w:rStyle w:val="Hyperlink"/>
            <w:rFonts w:ascii="Verdana" w:hAnsi="Verdana" w:cs="Arial"/>
            <w:sz w:val="24"/>
            <w:szCs w:val="24"/>
          </w:rPr>
          <w:t xml:space="preserve">CVS’s </w:t>
        </w:r>
        <w:r w:rsidR="003C220B">
          <w:rPr>
            <w:rStyle w:val="Hyperlink"/>
            <w:rFonts w:ascii="Verdana" w:hAnsi="Verdana" w:cs="Arial"/>
            <w:sz w:val="24"/>
            <w:szCs w:val="24"/>
          </w:rPr>
          <w:t>“</w:t>
        </w:r>
        <w:r w:rsidRPr="006627DB">
          <w:rPr>
            <w:rStyle w:val="Hyperlink"/>
            <w:rFonts w:ascii="Verdana" w:hAnsi="Verdana" w:cs="Arial"/>
            <w:sz w:val="24"/>
            <w:szCs w:val="24"/>
          </w:rPr>
          <w:t>real</w:t>
        </w:r>
        <w:r w:rsidR="003C220B">
          <w:rPr>
            <w:rStyle w:val="Hyperlink"/>
            <w:rFonts w:ascii="Verdana" w:hAnsi="Verdana" w:cs="Arial"/>
            <w:sz w:val="24"/>
            <w:szCs w:val="24"/>
          </w:rPr>
          <w:t>”</w:t>
        </w:r>
        <w:r w:rsidRPr="006627DB">
          <w:rPr>
            <w:rStyle w:val="Hyperlink"/>
            <w:rFonts w:ascii="Verdana" w:hAnsi="Verdana" w:cs="Arial"/>
            <w:sz w:val="24"/>
            <w:szCs w:val="24"/>
          </w:rPr>
          <w:t xml:space="preserve"> capital structure </w:t>
        </w:r>
        <w:r w:rsidR="003C220B">
          <w:rPr>
            <w:rStyle w:val="Hyperlink"/>
            <w:rFonts w:ascii="Verdana" w:hAnsi="Verdana" w:cs="Arial"/>
            <w:sz w:val="24"/>
            <w:szCs w:val="24"/>
          </w:rPr>
          <w:t xml:space="preserve">using the Company’s </w:t>
        </w:r>
        <w:r w:rsidRPr="006627DB">
          <w:rPr>
            <w:rStyle w:val="Hyperlink"/>
            <w:rFonts w:ascii="Verdana" w:hAnsi="Verdana" w:cs="Arial"/>
            <w:sz w:val="24"/>
            <w:szCs w:val="24"/>
          </w:rPr>
          <w:t>lease disclosures</w:t>
        </w:r>
      </w:hyperlink>
      <w:r>
        <w:rPr>
          <w:rFonts w:ascii="Verdana" w:hAnsi="Verdana" w:cs="Arial"/>
          <w:sz w:val="24"/>
          <w:szCs w:val="24"/>
        </w:rPr>
        <w:t>.  CVS net income was 15% lo</w:t>
      </w:r>
      <w:r w:rsidR="003C220B">
        <w:rPr>
          <w:rFonts w:ascii="Verdana" w:hAnsi="Verdana" w:cs="Arial"/>
          <w:sz w:val="24"/>
          <w:szCs w:val="24"/>
        </w:rPr>
        <w:t>wer, its total assets 14% higher</w:t>
      </w:r>
      <w:r>
        <w:rPr>
          <w:rFonts w:ascii="Verdana" w:hAnsi="Verdana" w:cs="Arial"/>
          <w:sz w:val="24"/>
          <w:szCs w:val="24"/>
        </w:rPr>
        <w:t>, its current debts 17% larger, its long-term liabilities an astounding 91% greater, and shareholders’ equity 16% smaller.  Recognizing the existence of these leased assets and lease obligations is import</w:t>
      </w:r>
      <w:r w:rsidR="003C220B">
        <w:rPr>
          <w:rFonts w:ascii="Verdana" w:hAnsi="Verdana" w:cs="Arial"/>
          <w:sz w:val="24"/>
          <w:szCs w:val="24"/>
        </w:rPr>
        <w:t>ant for determining true capital structure and related</w:t>
      </w:r>
      <w:r>
        <w:rPr>
          <w:rFonts w:ascii="Verdana" w:hAnsi="Verdana" w:cs="Arial"/>
          <w:sz w:val="24"/>
          <w:szCs w:val="24"/>
        </w:rPr>
        <w:t xml:space="preserve"> income</w:t>
      </w:r>
      <w:r w:rsidR="003C220B">
        <w:rPr>
          <w:rFonts w:ascii="Verdana" w:hAnsi="Verdana" w:cs="Arial"/>
          <w:sz w:val="24"/>
          <w:szCs w:val="24"/>
        </w:rPr>
        <w:t xml:space="preserve"> and expense</w:t>
      </w:r>
      <w:r>
        <w:rPr>
          <w:rFonts w:ascii="Verdana" w:hAnsi="Verdana" w:cs="Arial"/>
          <w:sz w:val="24"/>
          <w:szCs w:val="24"/>
        </w:rPr>
        <w:t xml:space="preserve"> effects.</w:t>
      </w:r>
    </w:p>
    <w:p w:rsidR="006627DB" w:rsidRDefault="006627DB" w:rsidP="00A61C2C">
      <w:pPr>
        <w:rPr>
          <w:rFonts w:ascii="Verdana" w:hAnsi="Verdana" w:cs="Arial"/>
          <w:sz w:val="24"/>
          <w:szCs w:val="24"/>
        </w:rPr>
      </w:pPr>
    </w:p>
    <w:p w:rsidR="006627DB" w:rsidRDefault="00DA6EAF" w:rsidP="00A61C2C">
      <w:pPr>
        <w:rPr>
          <w:rFonts w:ascii="Verdana" w:hAnsi="Verdana" w:cs="Arial"/>
          <w:sz w:val="24"/>
          <w:szCs w:val="24"/>
        </w:rPr>
      </w:pPr>
      <w:r>
        <w:rPr>
          <w:rFonts w:ascii="Verdana" w:hAnsi="Verdana" w:cs="Arial"/>
          <w:sz w:val="24"/>
          <w:szCs w:val="24"/>
        </w:rPr>
        <w:t xml:space="preserve">A similar story exists for Zynga.  </w:t>
      </w:r>
      <w:r w:rsidR="003C220B">
        <w:rPr>
          <w:rFonts w:ascii="Verdana" w:hAnsi="Verdana" w:cs="Arial"/>
          <w:sz w:val="24"/>
          <w:szCs w:val="24"/>
        </w:rPr>
        <w:t>Applying the same methodology that we used for CVS to Zynga, we adjusted the Company</w:t>
      </w:r>
      <w:r>
        <w:rPr>
          <w:rFonts w:ascii="Verdana" w:hAnsi="Verdana" w:cs="Arial"/>
          <w:sz w:val="24"/>
          <w:szCs w:val="24"/>
        </w:rPr>
        <w:t xml:space="preserve">’s income statement and balance sheet by capitalizing </w:t>
      </w:r>
      <w:r w:rsidR="003C220B">
        <w:rPr>
          <w:rFonts w:ascii="Verdana" w:hAnsi="Verdana" w:cs="Arial"/>
          <w:sz w:val="24"/>
          <w:szCs w:val="24"/>
        </w:rPr>
        <w:t>the so-called operating leases</w:t>
      </w:r>
      <w:r w:rsidR="00D779B7">
        <w:rPr>
          <w:rFonts w:ascii="Verdana" w:hAnsi="Verdana" w:cs="Arial"/>
          <w:sz w:val="24"/>
          <w:szCs w:val="24"/>
        </w:rPr>
        <w:t>,</w:t>
      </w:r>
      <w:r w:rsidR="003C220B">
        <w:rPr>
          <w:rFonts w:ascii="Verdana" w:hAnsi="Verdana" w:cs="Arial"/>
          <w:sz w:val="24"/>
          <w:szCs w:val="24"/>
        </w:rPr>
        <w:t xml:space="preserve"> </w:t>
      </w:r>
      <w:r>
        <w:rPr>
          <w:rFonts w:ascii="Verdana" w:hAnsi="Verdana" w:cs="Arial"/>
          <w:sz w:val="24"/>
          <w:szCs w:val="24"/>
        </w:rPr>
        <w:t>as they should be.  The results are:</w:t>
      </w:r>
    </w:p>
    <w:p w:rsidR="00DA6EAF" w:rsidRDefault="00DA6EAF" w:rsidP="00A61C2C">
      <w:pPr>
        <w:rPr>
          <w:rFonts w:ascii="Verdana" w:hAnsi="Verdana" w:cs="Arial"/>
          <w:sz w:val="24"/>
          <w:szCs w:val="24"/>
        </w:rPr>
      </w:pPr>
    </w:p>
    <w:tbl>
      <w:tblPr>
        <w:tblStyle w:val="TableGrid"/>
        <w:tblW w:w="0" w:type="auto"/>
        <w:jc w:val="center"/>
        <w:tblLook w:val="04A0"/>
      </w:tblPr>
      <w:tblGrid>
        <w:gridCol w:w="3708"/>
        <w:gridCol w:w="1530"/>
        <w:gridCol w:w="1440"/>
        <w:gridCol w:w="1350"/>
      </w:tblGrid>
      <w:tr w:rsidR="00DA6EAF" w:rsidTr="00F30982">
        <w:trPr>
          <w:jc w:val="center"/>
        </w:trPr>
        <w:tc>
          <w:tcPr>
            <w:tcW w:w="3708" w:type="dxa"/>
          </w:tcPr>
          <w:p w:rsidR="00DA6EAF" w:rsidRPr="00DA6EAF" w:rsidRDefault="00DA6EAF" w:rsidP="00A61C2C">
            <w:pPr>
              <w:rPr>
                <w:rFonts w:ascii="Tahoma" w:hAnsi="Tahoma" w:cs="Tahoma"/>
                <w:sz w:val="24"/>
                <w:szCs w:val="24"/>
              </w:rPr>
            </w:pPr>
            <w:r>
              <w:rPr>
                <w:rFonts w:ascii="Tahoma" w:hAnsi="Tahoma" w:cs="Tahoma"/>
                <w:sz w:val="24"/>
                <w:szCs w:val="24"/>
              </w:rPr>
              <w:t>(in millions)</w:t>
            </w:r>
          </w:p>
        </w:tc>
        <w:tc>
          <w:tcPr>
            <w:tcW w:w="1530" w:type="dxa"/>
          </w:tcPr>
          <w:p w:rsidR="00DA6EAF" w:rsidRPr="00DA6EAF" w:rsidRDefault="00DA6EAF" w:rsidP="00A61C2C">
            <w:pPr>
              <w:rPr>
                <w:rFonts w:ascii="Tahoma" w:hAnsi="Tahoma" w:cs="Tahoma"/>
                <w:sz w:val="24"/>
                <w:szCs w:val="24"/>
              </w:rPr>
            </w:pPr>
            <w:r w:rsidRPr="00DA6EAF">
              <w:rPr>
                <w:rFonts w:ascii="Tahoma" w:hAnsi="Tahoma" w:cs="Tahoma"/>
                <w:sz w:val="24"/>
                <w:szCs w:val="24"/>
              </w:rPr>
              <w:t>Reported</w:t>
            </w:r>
          </w:p>
        </w:tc>
        <w:tc>
          <w:tcPr>
            <w:tcW w:w="1440" w:type="dxa"/>
          </w:tcPr>
          <w:p w:rsidR="00DA6EAF" w:rsidRPr="00DA6EAF" w:rsidRDefault="00DA6EAF" w:rsidP="00DA6EAF">
            <w:pPr>
              <w:rPr>
                <w:rFonts w:ascii="Tahoma" w:hAnsi="Tahoma" w:cs="Tahoma"/>
                <w:sz w:val="24"/>
                <w:szCs w:val="24"/>
              </w:rPr>
            </w:pPr>
            <w:r w:rsidRPr="00DA6EAF">
              <w:rPr>
                <w:rFonts w:ascii="Tahoma" w:hAnsi="Tahoma" w:cs="Tahoma"/>
                <w:sz w:val="24"/>
                <w:szCs w:val="24"/>
              </w:rPr>
              <w:t>Adjusted</w:t>
            </w:r>
          </w:p>
        </w:tc>
        <w:tc>
          <w:tcPr>
            <w:tcW w:w="1350" w:type="dxa"/>
          </w:tcPr>
          <w:p w:rsidR="00DA6EAF" w:rsidRPr="00DA6EAF" w:rsidRDefault="00DA6EAF" w:rsidP="00DA6EAF">
            <w:pPr>
              <w:rPr>
                <w:rFonts w:ascii="Tahoma" w:hAnsi="Tahoma" w:cs="Tahoma"/>
                <w:sz w:val="24"/>
                <w:szCs w:val="24"/>
              </w:rPr>
            </w:pPr>
            <w:r>
              <w:rPr>
                <w:rFonts w:ascii="Tahoma" w:hAnsi="Tahoma" w:cs="Tahoma"/>
                <w:sz w:val="24"/>
                <w:szCs w:val="24"/>
              </w:rPr>
              <w:t>Change</w:t>
            </w:r>
          </w:p>
        </w:tc>
      </w:tr>
      <w:tr w:rsidR="00DA6EAF" w:rsidTr="00F30982">
        <w:trPr>
          <w:jc w:val="center"/>
        </w:trPr>
        <w:tc>
          <w:tcPr>
            <w:tcW w:w="3708" w:type="dxa"/>
          </w:tcPr>
          <w:p w:rsidR="00DA6EAF" w:rsidRPr="00DA6EAF" w:rsidRDefault="00DA6EAF" w:rsidP="00A61C2C">
            <w:pPr>
              <w:rPr>
                <w:rFonts w:ascii="Tahoma" w:hAnsi="Tahoma" w:cs="Tahoma"/>
                <w:sz w:val="24"/>
                <w:szCs w:val="24"/>
              </w:rPr>
            </w:pPr>
            <w:r w:rsidRPr="00DA6EAF">
              <w:rPr>
                <w:rFonts w:ascii="Tahoma" w:hAnsi="Tahoma" w:cs="Tahoma"/>
                <w:sz w:val="24"/>
                <w:szCs w:val="24"/>
              </w:rPr>
              <w:t>Net income</w:t>
            </w:r>
          </w:p>
        </w:tc>
        <w:tc>
          <w:tcPr>
            <w:tcW w:w="153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(404)</w:t>
            </w:r>
          </w:p>
        </w:tc>
        <w:tc>
          <w:tcPr>
            <w:tcW w:w="144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(436)</w:t>
            </w:r>
          </w:p>
        </w:tc>
        <w:tc>
          <w:tcPr>
            <w:tcW w:w="1350" w:type="dxa"/>
          </w:tcPr>
          <w:p w:rsidR="00DA6EAF" w:rsidRPr="00DA6EAF" w:rsidRDefault="003C220B" w:rsidP="003C220B">
            <w:pPr>
              <w:jc w:val="center"/>
              <w:rPr>
                <w:rFonts w:ascii="Courier New" w:hAnsi="Courier New" w:cs="Courier New"/>
                <w:sz w:val="24"/>
                <w:szCs w:val="24"/>
              </w:rPr>
            </w:pPr>
            <w:r>
              <w:rPr>
                <w:rFonts w:ascii="Courier New" w:hAnsi="Courier New" w:cs="Courier New"/>
                <w:sz w:val="24"/>
                <w:szCs w:val="24"/>
              </w:rPr>
              <w:t>(8)%</w:t>
            </w:r>
          </w:p>
        </w:tc>
      </w:tr>
      <w:tr w:rsidR="00DA6EAF" w:rsidTr="00F30982">
        <w:trPr>
          <w:jc w:val="center"/>
        </w:trPr>
        <w:tc>
          <w:tcPr>
            <w:tcW w:w="3708" w:type="dxa"/>
          </w:tcPr>
          <w:p w:rsidR="00DA6EAF" w:rsidRPr="00DA6EAF" w:rsidRDefault="00DA6EAF" w:rsidP="00A61C2C">
            <w:pPr>
              <w:rPr>
                <w:rFonts w:ascii="Tahoma" w:hAnsi="Tahoma" w:cs="Tahoma"/>
                <w:sz w:val="24"/>
                <w:szCs w:val="24"/>
              </w:rPr>
            </w:pPr>
          </w:p>
        </w:tc>
        <w:tc>
          <w:tcPr>
            <w:tcW w:w="1530" w:type="dxa"/>
          </w:tcPr>
          <w:p w:rsidR="00DA6EAF" w:rsidRPr="00DA6EAF" w:rsidRDefault="00DA6EAF" w:rsidP="00A61C2C">
            <w:pPr>
              <w:rPr>
                <w:rFonts w:ascii="Courier New" w:hAnsi="Courier New" w:cs="Courier New"/>
                <w:sz w:val="24"/>
                <w:szCs w:val="24"/>
              </w:rPr>
            </w:pPr>
          </w:p>
        </w:tc>
        <w:tc>
          <w:tcPr>
            <w:tcW w:w="1440" w:type="dxa"/>
          </w:tcPr>
          <w:p w:rsidR="00DA6EAF" w:rsidRPr="00DA6EAF" w:rsidRDefault="00DA6EAF" w:rsidP="00A61C2C">
            <w:pPr>
              <w:rPr>
                <w:rFonts w:ascii="Courier New" w:hAnsi="Courier New" w:cs="Courier New"/>
                <w:sz w:val="24"/>
                <w:szCs w:val="24"/>
              </w:rPr>
            </w:pPr>
          </w:p>
        </w:tc>
        <w:tc>
          <w:tcPr>
            <w:tcW w:w="1350" w:type="dxa"/>
          </w:tcPr>
          <w:p w:rsidR="00DA6EAF" w:rsidRPr="00DA6EAF" w:rsidRDefault="00DA6EAF" w:rsidP="00A61C2C">
            <w:pPr>
              <w:rPr>
                <w:rFonts w:ascii="Courier New" w:hAnsi="Courier New" w:cs="Courier New"/>
                <w:sz w:val="24"/>
                <w:szCs w:val="24"/>
              </w:rPr>
            </w:pPr>
          </w:p>
        </w:tc>
      </w:tr>
      <w:tr w:rsidR="00DA6EAF" w:rsidTr="00F30982">
        <w:trPr>
          <w:jc w:val="center"/>
        </w:trPr>
        <w:tc>
          <w:tcPr>
            <w:tcW w:w="3708" w:type="dxa"/>
          </w:tcPr>
          <w:p w:rsidR="00DA6EAF" w:rsidRPr="00DA6EAF" w:rsidRDefault="00DA6EAF" w:rsidP="00A61C2C">
            <w:pPr>
              <w:rPr>
                <w:rFonts w:ascii="Tahoma" w:hAnsi="Tahoma" w:cs="Tahoma"/>
                <w:sz w:val="24"/>
                <w:szCs w:val="24"/>
              </w:rPr>
            </w:pPr>
            <w:r w:rsidRPr="00DA6EAF">
              <w:rPr>
                <w:rFonts w:ascii="Tahoma" w:hAnsi="Tahoma" w:cs="Tahoma"/>
                <w:sz w:val="24"/>
                <w:szCs w:val="24"/>
              </w:rPr>
              <w:t>Current assets</w:t>
            </w:r>
          </w:p>
        </w:tc>
        <w:tc>
          <w:tcPr>
            <w:tcW w:w="153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2,024</w:t>
            </w:r>
          </w:p>
        </w:tc>
        <w:tc>
          <w:tcPr>
            <w:tcW w:w="144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2,024</w:t>
            </w:r>
          </w:p>
        </w:tc>
        <w:tc>
          <w:tcPr>
            <w:tcW w:w="135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0%</w:t>
            </w:r>
          </w:p>
        </w:tc>
      </w:tr>
      <w:tr w:rsidR="00DA6EAF" w:rsidTr="00F30982">
        <w:trPr>
          <w:jc w:val="center"/>
        </w:trPr>
        <w:tc>
          <w:tcPr>
            <w:tcW w:w="3708" w:type="dxa"/>
          </w:tcPr>
          <w:p w:rsidR="00DA6EAF" w:rsidRPr="00DA6EAF" w:rsidRDefault="00DA6EAF" w:rsidP="00A61C2C">
            <w:pPr>
              <w:rPr>
                <w:rFonts w:ascii="Tahoma" w:hAnsi="Tahoma" w:cs="Tahoma"/>
                <w:sz w:val="24"/>
                <w:szCs w:val="24"/>
              </w:rPr>
            </w:pPr>
            <w:r w:rsidRPr="00DA6EAF">
              <w:rPr>
                <w:rFonts w:ascii="Tahoma" w:hAnsi="Tahoma" w:cs="Tahoma"/>
                <w:sz w:val="24"/>
                <w:szCs w:val="24"/>
              </w:rPr>
              <w:t>Property plant and equipment</w:t>
            </w:r>
          </w:p>
        </w:tc>
        <w:tc>
          <w:tcPr>
            <w:tcW w:w="153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493</w:t>
            </w:r>
          </w:p>
        </w:tc>
        <w:tc>
          <w:tcPr>
            <w:tcW w:w="144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652</w:t>
            </w:r>
          </w:p>
        </w:tc>
        <w:tc>
          <w:tcPr>
            <w:tcW w:w="135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32%</w:t>
            </w:r>
          </w:p>
        </w:tc>
      </w:tr>
      <w:tr w:rsidR="00DA6EAF" w:rsidTr="00F30982">
        <w:trPr>
          <w:jc w:val="center"/>
        </w:trPr>
        <w:tc>
          <w:tcPr>
            <w:tcW w:w="3708" w:type="dxa"/>
          </w:tcPr>
          <w:p w:rsidR="00DA6EAF" w:rsidRPr="00DA6EAF" w:rsidRDefault="00DA6EAF" w:rsidP="00A61C2C">
            <w:pPr>
              <w:rPr>
                <w:rFonts w:ascii="Tahoma" w:hAnsi="Tahoma" w:cs="Tahoma"/>
                <w:sz w:val="24"/>
                <w:szCs w:val="24"/>
              </w:rPr>
            </w:pPr>
            <w:r w:rsidRPr="00DA6EAF">
              <w:rPr>
                <w:rFonts w:ascii="Tahoma" w:hAnsi="Tahoma" w:cs="Tahoma"/>
                <w:sz w:val="24"/>
                <w:szCs w:val="24"/>
              </w:rPr>
              <w:t>Total assets</w:t>
            </w:r>
          </w:p>
        </w:tc>
        <w:tc>
          <w:tcPr>
            <w:tcW w:w="153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2,517</w:t>
            </w:r>
          </w:p>
        </w:tc>
        <w:tc>
          <w:tcPr>
            <w:tcW w:w="144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2,676</w:t>
            </w:r>
          </w:p>
        </w:tc>
        <w:tc>
          <w:tcPr>
            <w:tcW w:w="135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6%</w:t>
            </w:r>
          </w:p>
        </w:tc>
      </w:tr>
      <w:tr w:rsidR="00DA6EAF" w:rsidTr="00F30982">
        <w:trPr>
          <w:jc w:val="center"/>
        </w:trPr>
        <w:tc>
          <w:tcPr>
            <w:tcW w:w="3708" w:type="dxa"/>
          </w:tcPr>
          <w:p w:rsidR="00DA6EAF" w:rsidRPr="00DA6EAF" w:rsidRDefault="00DA6EAF" w:rsidP="00A61C2C">
            <w:pPr>
              <w:rPr>
                <w:rFonts w:ascii="Tahoma" w:hAnsi="Tahoma" w:cs="Tahoma"/>
                <w:sz w:val="24"/>
                <w:szCs w:val="24"/>
              </w:rPr>
            </w:pPr>
          </w:p>
        </w:tc>
        <w:tc>
          <w:tcPr>
            <w:tcW w:w="1530" w:type="dxa"/>
          </w:tcPr>
          <w:p w:rsidR="00DA6EAF" w:rsidRPr="00DA6EAF" w:rsidRDefault="00DA6EAF" w:rsidP="00A61C2C">
            <w:pPr>
              <w:rPr>
                <w:rFonts w:ascii="Courier New" w:hAnsi="Courier New" w:cs="Courier New"/>
                <w:sz w:val="24"/>
                <w:szCs w:val="24"/>
              </w:rPr>
            </w:pPr>
          </w:p>
        </w:tc>
        <w:tc>
          <w:tcPr>
            <w:tcW w:w="1440" w:type="dxa"/>
          </w:tcPr>
          <w:p w:rsidR="00DA6EAF" w:rsidRPr="00DA6EAF" w:rsidRDefault="00DA6EAF" w:rsidP="00A61C2C">
            <w:pPr>
              <w:rPr>
                <w:rFonts w:ascii="Courier New" w:hAnsi="Courier New" w:cs="Courier New"/>
                <w:sz w:val="24"/>
                <w:szCs w:val="24"/>
              </w:rPr>
            </w:pPr>
          </w:p>
        </w:tc>
        <w:tc>
          <w:tcPr>
            <w:tcW w:w="1350" w:type="dxa"/>
          </w:tcPr>
          <w:p w:rsidR="00DA6EAF" w:rsidRPr="00DA6EAF" w:rsidRDefault="00DA6EAF" w:rsidP="00A61C2C">
            <w:pPr>
              <w:rPr>
                <w:rFonts w:ascii="Courier New" w:hAnsi="Courier New" w:cs="Courier New"/>
                <w:sz w:val="24"/>
                <w:szCs w:val="24"/>
              </w:rPr>
            </w:pPr>
          </w:p>
        </w:tc>
      </w:tr>
      <w:tr w:rsidR="00DA6EAF" w:rsidTr="00F30982">
        <w:trPr>
          <w:jc w:val="center"/>
        </w:trPr>
        <w:tc>
          <w:tcPr>
            <w:tcW w:w="3708" w:type="dxa"/>
          </w:tcPr>
          <w:p w:rsidR="00DA6EAF" w:rsidRPr="00DA6EAF" w:rsidRDefault="00DA6EAF" w:rsidP="00A61C2C">
            <w:pPr>
              <w:rPr>
                <w:rFonts w:ascii="Tahoma" w:hAnsi="Tahoma" w:cs="Tahoma"/>
                <w:sz w:val="24"/>
                <w:szCs w:val="24"/>
              </w:rPr>
            </w:pPr>
            <w:r w:rsidRPr="00DA6EAF">
              <w:rPr>
                <w:rFonts w:ascii="Tahoma" w:hAnsi="Tahoma" w:cs="Tahoma"/>
                <w:sz w:val="24"/>
                <w:szCs w:val="24"/>
              </w:rPr>
              <w:lastRenderedPageBreak/>
              <w:t>Current debts</w:t>
            </w:r>
          </w:p>
        </w:tc>
        <w:tc>
          <w:tcPr>
            <w:tcW w:w="153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669</w:t>
            </w:r>
          </w:p>
        </w:tc>
        <w:tc>
          <w:tcPr>
            <w:tcW w:w="144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699</w:t>
            </w:r>
          </w:p>
        </w:tc>
        <w:tc>
          <w:tcPr>
            <w:tcW w:w="135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4%</w:t>
            </w:r>
          </w:p>
        </w:tc>
      </w:tr>
      <w:tr w:rsidR="00DA6EAF" w:rsidTr="00F30982">
        <w:trPr>
          <w:jc w:val="center"/>
        </w:trPr>
        <w:tc>
          <w:tcPr>
            <w:tcW w:w="3708" w:type="dxa"/>
          </w:tcPr>
          <w:p w:rsidR="00DA6EAF" w:rsidRPr="00DA6EAF" w:rsidRDefault="00DA6EAF" w:rsidP="00A61C2C">
            <w:pPr>
              <w:rPr>
                <w:rFonts w:ascii="Tahoma" w:hAnsi="Tahoma" w:cs="Tahoma"/>
                <w:sz w:val="24"/>
                <w:szCs w:val="24"/>
              </w:rPr>
            </w:pPr>
            <w:r w:rsidRPr="00DA6EAF">
              <w:rPr>
                <w:rFonts w:ascii="Tahoma" w:hAnsi="Tahoma" w:cs="Tahoma"/>
                <w:sz w:val="24"/>
                <w:szCs w:val="24"/>
              </w:rPr>
              <w:t>Long-term debts</w:t>
            </w:r>
          </w:p>
        </w:tc>
        <w:tc>
          <w:tcPr>
            <w:tcW w:w="153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98</w:t>
            </w:r>
          </w:p>
        </w:tc>
        <w:tc>
          <w:tcPr>
            <w:tcW w:w="144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281</w:t>
            </w:r>
          </w:p>
        </w:tc>
        <w:tc>
          <w:tcPr>
            <w:tcW w:w="135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186%</w:t>
            </w:r>
          </w:p>
        </w:tc>
      </w:tr>
      <w:tr w:rsidR="00DA6EAF" w:rsidTr="00F30982">
        <w:trPr>
          <w:jc w:val="center"/>
        </w:trPr>
        <w:tc>
          <w:tcPr>
            <w:tcW w:w="3708" w:type="dxa"/>
          </w:tcPr>
          <w:p w:rsidR="00DA6EAF" w:rsidRPr="00DA6EAF" w:rsidRDefault="00DA6EAF" w:rsidP="00A61C2C">
            <w:pPr>
              <w:rPr>
                <w:rFonts w:ascii="Tahoma" w:hAnsi="Tahoma" w:cs="Tahoma"/>
                <w:sz w:val="24"/>
                <w:szCs w:val="24"/>
              </w:rPr>
            </w:pPr>
            <w:r w:rsidRPr="00DA6EAF">
              <w:rPr>
                <w:rFonts w:ascii="Tahoma" w:hAnsi="Tahoma" w:cs="Tahoma"/>
                <w:sz w:val="24"/>
                <w:szCs w:val="24"/>
              </w:rPr>
              <w:t>Shareholders’ equity</w:t>
            </w:r>
          </w:p>
        </w:tc>
        <w:tc>
          <w:tcPr>
            <w:tcW w:w="153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1,750</w:t>
            </w:r>
          </w:p>
        </w:tc>
        <w:tc>
          <w:tcPr>
            <w:tcW w:w="144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1,697</w:t>
            </w:r>
          </w:p>
        </w:tc>
        <w:tc>
          <w:tcPr>
            <w:tcW w:w="1350" w:type="dxa"/>
          </w:tcPr>
          <w:p w:rsidR="00DA6EAF" w:rsidRPr="00DA6EAF" w:rsidRDefault="00175842" w:rsidP="00A61C2C">
            <w:pPr>
              <w:rPr>
                <w:rFonts w:ascii="Courier New" w:hAnsi="Courier New" w:cs="Courier New"/>
                <w:sz w:val="24"/>
                <w:szCs w:val="24"/>
              </w:rPr>
            </w:pPr>
            <w:r>
              <w:rPr>
                <w:rFonts w:ascii="Courier New" w:hAnsi="Courier New" w:cs="Courier New"/>
                <w:sz w:val="24"/>
                <w:szCs w:val="24"/>
              </w:rPr>
              <w:t xml:space="preserve"> (3)%</w:t>
            </w:r>
          </w:p>
        </w:tc>
      </w:tr>
    </w:tbl>
    <w:p w:rsidR="00DA6EAF" w:rsidRDefault="00DA6EAF" w:rsidP="00A61C2C">
      <w:pPr>
        <w:rPr>
          <w:rFonts w:ascii="Verdana" w:hAnsi="Verdana" w:cs="Arial"/>
          <w:sz w:val="24"/>
          <w:szCs w:val="24"/>
        </w:rPr>
      </w:pPr>
    </w:p>
    <w:p w:rsidR="00175842" w:rsidRDefault="00175842" w:rsidP="00A61C2C">
      <w:pPr>
        <w:rPr>
          <w:rFonts w:ascii="Verdana" w:hAnsi="Verdana" w:cs="Arial"/>
          <w:sz w:val="24"/>
          <w:szCs w:val="24"/>
        </w:rPr>
      </w:pPr>
    </w:p>
    <w:p w:rsidR="00175842" w:rsidRDefault="00DD3721" w:rsidP="00A61C2C">
      <w:pPr>
        <w:rPr>
          <w:rFonts w:ascii="Verdana" w:hAnsi="Verdana" w:cs="Arial"/>
          <w:sz w:val="24"/>
          <w:szCs w:val="24"/>
        </w:rPr>
      </w:pPr>
      <w:r>
        <w:rPr>
          <w:rFonts w:ascii="Verdana" w:hAnsi="Verdana" w:cs="Arial"/>
          <w:sz w:val="24"/>
          <w:szCs w:val="24"/>
        </w:rPr>
        <w:t xml:space="preserve">The dramatic change in reported long-term debt </w:t>
      </w:r>
      <w:r w:rsidR="00175842">
        <w:rPr>
          <w:rFonts w:ascii="Verdana" w:hAnsi="Verdana" w:cs="Arial"/>
          <w:sz w:val="24"/>
          <w:szCs w:val="24"/>
        </w:rPr>
        <w:t xml:space="preserve">shows </w:t>
      </w:r>
      <w:r>
        <w:rPr>
          <w:rFonts w:ascii="Verdana" w:hAnsi="Verdana" w:cs="Arial"/>
          <w:sz w:val="24"/>
          <w:szCs w:val="24"/>
        </w:rPr>
        <w:t xml:space="preserve">just </w:t>
      </w:r>
      <w:r w:rsidR="00175842">
        <w:rPr>
          <w:rFonts w:ascii="Verdana" w:hAnsi="Verdana" w:cs="Arial"/>
          <w:sz w:val="24"/>
          <w:szCs w:val="24"/>
        </w:rPr>
        <w:t xml:space="preserve">how </w:t>
      </w:r>
      <w:r>
        <w:rPr>
          <w:rFonts w:ascii="Verdana" w:hAnsi="Verdana" w:cs="Arial"/>
          <w:sz w:val="24"/>
          <w:szCs w:val="24"/>
        </w:rPr>
        <w:t xml:space="preserve">important </w:t>
      </w:r>
      <w:r w:rsidR="00175842">
        <w:rPr>
          <w:rFonts w:ascii="Verdana" w:hAnsi="Verdana" w:cs="Arial"/>
          <w:sz w:val="24"/>
          <w:szCs w:val="24"/>
        </w:rPr>
        <w:t>this le</w:t>
      </w:r>
      <w:r>
        <w:rPr>
          <w:rFonts w:ascii="Verdana" w:hAnsi="Verdana" w:cs="Arial"/>
          <w:sz w:val="24"/>
          <w:szCs w:val="24"/>
        </w:rPr>
        <w:t xml:space="preserve">ase analysis is </w:t>
      </w:r>
      <w:r w:rsidR="00175842">
        <w:rPr>
          <w:rFonts w:ascii="Verdana" w:hAnsi="Verdana" w:cs="Arial"/>
          <w:sz w:val="24"/>
          <w:szCs w:val="24"/>
        </w:rPr>
        <w:t>when conducting financial statement analysis.  The debt-to-equity ratio jumps from 0.44 on a reported basis to 0.58 with the adjusted numbers.</w:t>
      </w:r>
    </w:p>
    <w:p w:rsidR="00175842" w:rsidRDefault="00175842" w:rsidP="00A61C2C">
      <w:pPr>
        <w:rPr>
          <w:rFonts w:ascii="Verdana" w:hAnsi="Verdana" w:cs="Arial"/>
          <w:sz w:val="24"/>
          <w:szCs w:val="24"/>
        </w:rPr>
      </w:pPr>
    </w:p>
    <w:p w:rsidR="00D779B7" w:rsidRDefault="00D779B7" w:rsidP="00A61C2C">
      <w:pPr>
        <w:rPr>
          <w:rFonts w:ascii="Verdana" w:hAnsi="Verdana" w:cs="Arial"/>
          <w:sz w:val="24"/>
          <w:szCs w:val="24"/>
        </w:rPr>
      </w:pPr>
    </w:p>
    <w:p w:rsidR="00175842" w:rsidRPr="00DD3721" w:rsidRDefault="00DD3721" w:rsidP="00A61C2C">
      <w:pPr>
        <w:rPr>
          <w:rFonts w:ascii="Verdana" w:hAnsi="Verdana" w:cs="Arial"/>
          <w:b/>
          <w:sz w:val="24"/>
          <w:szCs w:val="24"/>
        </w:rPr>
      </w:pPr>
      <w:r>
        <w:rPr>
          <w:rFonts w:ascii="Verdana" w:hAnsi="Verdana" w:cs="Arial"/>
          <w:b/>
          <w:sz w:val="24"/>
          <w:szCs w:val="24"/>
        </w:rPr>
        <w:t>Deferred Tax A</w:t>
      </w:r>
      <w:r w:rsidR="00F30982" w:rsidRPr="00DD3721">
        <w:rPr>
          <w:rFonts w:ascii="Verdana" w:hAnsi="Verdana" w:cs="Arial"/>
          <w:b/>
          <w:sz w:val="24"/>
          <w:szCs w:val="24"/>
        </w:rPr>
        <w:t>ssets</w:t>
      </w:r>
    </w:p>
    <w:p w:rsidR="006627DB" w:rsidRDefault="006627DB" w:rsidP="00A61C2C">
      <w:pPr>
        <w:rPr>
          <w:rFonts w:ascii="Verdana" w:hAnsi="Verdana" w:cs="Arial"/>
          <w:sz w:val="24"/>
          <w:szCs w:val="24"/>
        </w:rPr>
      </w:pPr>
    </w:p>
    <w:p w:rsidR="00DD3721" w:rsidRDefault="00DB3B45" w:rsidP="00DD3721">
      <w:pPr>
        <w:rPr>
          <w:rFonts w:ascii="Verdana" w:hAnsi="Verdana" w:cs="Arial"/>
          <w:sz w:val="24"/>
          <w:szCs w:val="24"/>
        </w:rPr>
      </w:pPr>
      <w:r>
        <w:rPr>
          <w:rFonts w:ascii="Verdana" w:hAnsi="Verdana" w:cs="Arial"/>
          <w:sz w:val="24"/>
          <w:szCs w:val="24"/>
        </w:rPr>
        <w:t xml:space="preserve">Deferred tax assets are </w:t>
      </w:r>
      <w:r w:rsidR="00DD3721">
        <w:rPr>
          <w:rFonts w:ascii="Verdana" w:hAnsi="Verdana" w:cs="Arial"/>
          <w:sz w:val="24"/>
          <w:szCs w:val="24"/>
        </w:rPr>
        <w:t>intangible assets whose valuation can be quite subjective…</w:t>
      </w:r>
      <w:r>
        <w:rPr>
          <w:rFonts w:ascii="Verdana" w:hAnsi="Verdana" w:cs="Arial"/>
          <w:sz w:val="24"/>
          <w:szCs w:val="24"/>
        </w:rPr>
        <w:t xml:space="preserve">but we’ll save that story for another day.  </w:t>
      </w:r>
      <w:r w:rsidR="00DD3721">
        <w:rPr>
          <w:rFonts w:ascii="Verdana" w:hAnsi="Verdana" w:cs="Arial"/>
          <w:sz w:val="24"/>
          <w:szCs w:val="24"/>
        </w:rPr>
        <w:t>Deferred tax assets also often serve as a source for income in desperate times.  Consider Ford for example (see “</w:t>
      </w:r>
      <w:hyperlink r:id="rId8" w:history="1">
        <w:r w:rsidR="00DD3721" w:rsidRPr="00DD3721">
          <w:rPr>
            <w:rStyle w:val="Hyperlink"/>
            <w:rFonts w:ascii="Verdana" w:hAnsi="Verdana" w:cs="Arial"/>
            <w:sz w:val="24"/>
            <w:szCs w:val="24"/>
          </w:rPr>
          <w:t>Ford Has a Better Idea</w:t>
        </w:r>
        <w:r w:rsidR="00DD3721">
          <w:rPr>
            <w:rStyle w:val="Hyperlink"/>
            <w:rFonts w:ascii="Verdana" w:hAnsi="Verdana" w:cs="Arial"/>
            <w:sz w:val="24"/>
            <w:szCs w:val="24"/>
          </w:rPr>
          <w:t>”</w:t>
        </w:r>
        <w:r w:rsidR="00DD3721" w:rsidRPr="00DD3721">
          <w:rPr>
            <w:rStyle w:val="Hyperlink"/>
            <w:rFonts w:ascii="Verdana" w:hAnsi="Verdana" w:cs="Arial"/>
            <w:sz w:val="24"/>
            <w:szCs w:val="24"/>
          </w:rPr>
          <w:t xml:space="preserve"> on How to Increase Earnings: Not Really</w:t>
        </w:r>
      </w:hyperlink>
      <w:r w:rsidR="00DD3721">
        <w:rPr>
          <w:rFonts w:ascii="Verdana" w:hAnsi="Verdana" w:cs="Arial"/>
          <w:sz w:val="24"/>
          <w:szCs w:val="24"/>
        </w:rPr>
        <w:t>).  To meet analyst forecasts, Ford had to dip into its cookie jar and release some of its deferred tax asset valuation allowance to increase deferred tax assets and increase earnings.</w:t>
      </w:r>
    </w:p>
    <w:p w:rsidR="00DD3721" w:rsidRDefault="00DD3721" w:rsidP="00A61C2C">
      <w:pPr>
        <w:rPr>
          <w:rFonts w:ascii="Verdana" w:hAnsi="Verdana" w:cs="Arial"/>
          <w:sz w:val="24"/>
          <w:szCs w:val="24"/>
        </w:rPr>
      </w:pPr>
    </w:p>
    <w:p w:rsidR="00DB3B45" w:rsidRDefault="000D63FF" w:rsidP="00A61C2C">
      <w:pPr>
        <w:rPr>
          <w:rFonts w:ascii="Verdana" w:hAnsi="Verdana" w:cs="Arial"/>
          <w:sz w:val="24"/>
          <w:szCs w:val="24"/>
        </w:rPr>
      </w:pPr>
      <w:r>
        <w:rPr>
          <w:rFonts w:ascii="Verdana" w:hAnsi="Verdana" w:cs="Arial"/>
          <w:sz w:val="24"/>
          <w:szCs w:val="24"/>
        </w:rPr>
        <w:t>But Zynga isn’t playing this game</w:t>
      </w:r>
      <w:r w:rsidR="00DB3B45">
        <w:rPr>
          <w:rFonts w:ascii="Verdana" w:hAnsi="Verdana" w:cs="Arial"/>
          <w:sz w:val="24"/>
          <w:szCs w:val="24"/>
        </w:rPr>
        <w:t xml:space="preserve">.  At the end of 2011 it had $191 million in deferred tax assets, but it </w:t>
      </w:r>
      <w:r>
        <w:rPr>
          <w:rFonts w:ascii="Verdana" w:hAnsi="Verdana" w:cs="Arial"/>
          <w:sz w:val="24"/>
          <w:szCs w:val="24"/>
        </w:rPr>
        <w:t>established a valuation allowance of $113 million.  That means that it reports</w:t>
      </w:r>
      <w:r w:rsidR="00DB3B45">
        <w:rPr>
          <w:rFonts w:ascii="Verdana" w:hAnsi="Verdana" w:cs="Arial"/>
          <w:sz w:val="24"/>
          <w:szCs w:val="24"/>
        </w:rPr>
        <w:t xml:space="preserve"> only about 40 percent o</w:t>
      </w:r>
      <w:r>
        <w:rPr>
          <w:rFonts w:ascii="Verdana" w:hAnsi="Verdana" w:cs="Arial"/>
          <w:sz w:val="24"/>
          <w:szCs w:val="24"/>
        </w:rPr>
        <w:t>f its deferred tax assets on its balance sheet.  By creating such a reserve,</w:t>
      </w:r>
      <w:r w:rsidR="00DB3B45">
        <w:rPr>
          <w:rFonts w:ascii="Verdana" w:hAnsi="Verdana" w:cs="Arial"/>
          <w:sz w:val="24"/>
          <w:szCs w:val="24"/>
        </w:rPr>
        <w:t xml:space="preserve"> Zynga is </w:t>
      </w:r>
      <w:r>
        <w:rPr>
          <w:rFonts w:ascii="Verdana" w:hAnsi="Verdana" w:cs="Arial"/>
          <w:sz w:val="24"/>
          <w:szCs w:val="24"/>
        </w:rPr>
        <w:t xml:space="preserve">telling us that </w:t>
      </w:r>
      <w:r w:rsidR="00DB3B45">
        <w:rPr>
          <w:rFonts w:ascii="Verdana" w:hAnsi="Verdana" w:cs="Arial"/>
          <w:sz w:val="24"/>
          <w:szCs w:val="24"/>
        </w:rPr>
        <w:t xml:space="preserve">it </w:t>
      </w:r>
      <w:r>
        <w:rPr>
          <w:rFonts w:ascii="Verdana" w:hAnsi="Verdana" w:cs="Arial"/>
          <w:sz w:val="24"/>
          <w:szCs w:val="24"/>
        </w:rPr>
        <w:t xml:space="preserve">does not think it </w:t>
      </w:r>
      <w:r w:rsidR="00DB3B45">
        <w:rPr>
          <w:rFonts w:ascii="Verdana" w:hAnsi="Verdana" w:cs="Arial"/>
          <w:sz w:val="24"/>
          <w:szCs w:val="24"/>
        </w:rPr>
        <w:t xml:space="preserve">will </w:t>
      </w:r>
      <w:r>
        <w:rPr>
          <w:rFonts w:ascii="Verdana" w:hAnsi="Verdana" w:cs="Arial"/>
          <w:sz w:val="24"/>
          <w:szCs w:val="24"/>
        </w:rPr>
        <w:t xml:space="preserve">be able to </w:t>
      </w:r>
      <w:r w:rsidR="00DB3B45">
        <w:rPr>
          <w:rFonts w:ascii="Verdana" w:hAnsi="Verdana" w:cs="Arial"/>
          <w:sz w:val="24"/>
          <w:szCs w:val="24"/>
        </w:rPr>
        <w:t xml:space="preserve">generate enough future taxable income </w:t>
      </w:r>
      <w:r>
        <w:rPr>
          <w:rFonts w:ascii="Verdana" w:hAnsi="Verdana" w:cs="Arial"/>
          <w:sz w:val="24"/>
          <w:szCs w:val="24"/>
        </w:rPr>
        <w:t xml:space="preserve">(i.e., profit) to </w:t>
      </w:r>
      <w:r w:rsidR="00DB3B45">
        <w:rPr>
          <w:rFonts w:ascii="Verdana" w:hAnsi="Verdana" w:cs="Arial"/>
          <w:sz w:val="24"/>
          <w:szCs w:val="24"/>
        </w:rPr>
        <w:t xml:space="preserve">utilize these so-called </w:t>
      </w:r>
      <w:r>
        <w:rPr>
          <w:rFonts w:ascii="Verdana" w:hAnsi="Verdana" w:cs="Arial"/>
          <w:sz w:val="24"/>
          <w:szCs w:val="24"/>
        </w:rPr>
        <w:t>deferred tax assets</w:t>
      </w:r>
      <w:r w:rsidR="00DB3B45">
        <w:rPr>
          <w:rFonts w:ascii="Verdana" w:hAnsi="Verdana" w:cs="Arial"/>
          <w:sz w:val="24"/>
          <w:szCs w:val="24"/>
        </w:rPr>
        <w:t>.</w:t>
      </w:r>
      <w:r>
        <w:rPr>
          <w:rFonts w:ascii="Verdana" w:hAnsi="Verdana" w:cs="Arial"/>
          <w:sz w:val="24"/>
          <w:szCs w:val="24"/>
        </w:rPr>
        <w:t xml:space="preserve">  Doesn’t that seem to contradict the rosy picture that Zynga managers try to paint with their adjusted EBITDA numbers?</w:t>
      </w:r>
    </w:p>
    <w:p w:rsidR="006627DB" w:rsidRDefault="006627DB" w:rsidP="00A61C2C">
      <w:pPr>
        <w:rPr>
          <w:rFonts w:ascii="Verdana" w:hAnsi="Verdana" w:cs="Arial"/>
          <w:sz w:val="24"/>
          <w:szCs w:val="24"/>
        </w:rPr>
      </w:pPr>
    </w:p>
    <w:p w:rsidR="00DB3B45" w:rsidRDefault="000D63FF" w:rsidP="00A61C2C">
      <w:pPr>
        <w:rPr>
          <w:rFonts w:ascii="Verdana" w:hAnsi="Verdana" w:cs="Arial"/>
          <w:sz w:val="24"/>
          <w:szCs w:val="24"/>
        </w:rPr>
      </w:pPr>
      <w:r>
        <w:rPr>
          <w:rFonts w:ascii="Verdana" w:hAnsi="Verdana" w:cs="Arial"/>
          <w:sz w:val="24"/>
          <w:szCs w:val="24"/>
        </w:rPr>
        <w:t xml:space="preserve">And of course, creating this deferred tax allowance also increases </w:t>
      </w:r>
      <w:proofErr w:type="spellStart"/>
      <w:r>
        <w:rPr>
          <w:rFonts w:ascii="Verdana" w:hAnsi="Verdana" w:cs="Arial"/>
          <w:sz w:val="24"/>
          <w:szCs w:val="24"/>
        </w:rPr>
        <w:t>Zynga’s</w:t>
      </w:r>
      <w:proofErr w:type="spellEnd"/>
      <w:r w:rsidR="00DB3B45">
        <w:rPr>
          <w:rFonts w:ascii="Verdana" w:hAnsi="Verdana" w:cs="Arial"/>
          <w:sz w:val="24"/>
          <w:szCs w:val="24"/>
        </w:rPr>
        <w:t xml:space="preserve"> cookie</w:t>
      </w:r>
      <w:r>
        <w:rPr>
          <w:rFonts w:ascii="Verdana" w:hAnsi="Verdana" w:cs="Arial"/>
          <w:sz w:val="24"/>
          <w:szCs w:val="24"/>
        </w:rPr>
        <w:t xml:space="preserve"> jar.  At some future point, management may claim</w:t>
      </w:r>
      <w:r w:rsidR="00DB3B45">
        <w:rPr>
          <w:rFonts w:ascii="Verdana" w:hAnsi="Verdana" w:cs="Arial"/>
          <w:sz w:val="24"/>
          <w:szCs w:val="24"/>
        </w:rPr>
        <w:t xml:space="preserve"> that things will turn rosy</w:t>
      </w:r>
      <w:r>
        <w:rPr>
          <w:rFonts w:ascii="Verdana" w:hAnsi="Verdana" w:cs="Arial"/>
          <w:sz w:val="24"/>
          <w:szCs w:val="24"/>
        </w:rPr>
        <w:t>, thus negating the need for the val</w:t>
      </w:r>
      <w:r w:rsidR="00DB3B45">
        <w:rPr>
          <w:rFonts w:ascii="Verdana" w:hAnsi="Verdana" w:cs="Arial"/>
          <w:sz w:val="24"/>
          <w:szCs w:val="24"/>
        </w:rPr>
        <w:t>uation allowance</w:t>
      </w:r>
      <w:r>
        <w:rPr>
          <w:rFonts w:ascii="Verdana" w:hAnsi="Verdana" w:cs="Arial"/>
          <w:sz w:val="24"/>
          <w:szCs w:val="24"/>
        </w:rPr>
        <w:t>, which</w:t>
      </w:r>
      <w:r w:rsidR="00DB3B45">
        <w:rPr>
          <w:rFonts w:ascii="Verdana" w:hAnsi="Verdana" w:cs="Arial"/>
          <w:sz w:val="24"/>
          <w:szCs w:val="24"/>
        </w:rPr>
        <w:t xml:space="preserve"> will be reduced dramatically</w:t>
      </w:r>
      <w:r>
        <w:rPr>
          <w:rFonts w:ascii="Verdana" w:hAnsi="Verdana" w:cs="Arial"/>
          <w:sz w:val="24"/>
          <w:szCs w:val="24"/>
        </w:rPr>
        <w:t>, and artificially inflate net earnings</w:t>
      </w:r>
      <w:r w:rsidR="00DB3B45">
        <w:rPr>
          <w:rFonts w:ascii="Verdana" w:hAnsi="Verdana" w:cs="Arial"/>
          <w:sz w:val="24"/>
          <w:szCs w:val="24"/>
        </w:rPr>
        <w:t>.  It’s such a felicitous way to create earnings!</w:t>
      </w:r>
    </w:p>
    <w:p w:rsidR="00DB3B45" w:rsidRDefault="00DB3B45" w:rsidP="00A61C2C">
      <w:pPr>
        <w:rPr>
          <w:rFonts w:ascii="Verdana" w:hAnsi="Verdana" w:cs="Arial"/>
          <w:sz w:val="24"/>
          <w:szCs w:val="24"/>
        </w:rPr>
      </w:pPr>
    </w:p>
    <w:p w:rsidR="00D779B7" w:rsidRDefault="00D779B7" w:rsidP="00A61C2C">
      <w:pPr>
        <w:rPr>
          <w:rFonts w:ascii="Verdana" w:hAnsi="Verdana" w:cs="Arial"/>
          <w:sz w:val="24"/>
          <w:szCs w:val="24"/>
        </w:rPr>
      </w:pPr>
    </w:p>
    <w:p w:rsidR="00462330" w:rsidRPr="000D63FF" w:rsidRDefault="00462330" w:rsidP="00A61C2C">
      <w:pPr>
        <w:rPr>
          <w:rFonts w:ascii="Verdana" w:hAnsi="Verdana" w:cs="Arial"/>
          <w:b/>
          <w:sz w:val="24"/>
          <w:szCs w:val="24"/>
        </w:rPr>
      </w:pPr>
      <w:r w:rsidRPr="000D63FF">
        <w:rPr>
          <w:rFonts w:ascii="Verdana" w:hAnsi="Verdana" w:cs="Arial"/>
          <w:b/>
          <w:sz w:val="24"/>
          <w:szCs w:val="24"/>
        </w:rPr>
        <w:t>Conclusion</w:t>
      </w:r>
    </w:p>
    <w:p w:rsidR="00462330" w:rsidRDefault="00462330" w:rsidP="00A61C2C">
      <w:pPr>
        <w:rPr>
          <w:rFonts w:ascii="Verdana" w:hAnsi="Verdana" w:cs="Arial"/>
          <w:sz w:val="24"/>
          <w:szCs w:val="24"/>
        </w:rPr>
      </w:pPr>
    </w:p>
    <w:p w:rsidR="00462330" w:rsidRDefault="00462330" w:rsidP="00A61C2C">
      <w:pPr>
        <w:rPr>
          <w:rFonts w:ascii="Verdana" w:hAnsi="Verdana" w:cs="Arial"/>
          <w:sz w:val="24"/>
          <w:szCs w:val="24"/>
        </w:rPr>
      </w:pPr>
      <w:r>
        <w:rPr>
          <w:rFonts w:ascii="Verdana" w:hAnsi="Verdana" w:cs="Arial"/>
          <w:sz w:val="24"/>
          <w:szCs w:val="24"/>
        </w:rPr>
        <w:t xml:space="preserve">Zynga </w:t>
      </w:r>
      <w:r w:rsidR="000D63FF">
        <w:rPr>
          <w:rFonts w:ascii="Verdana" w:hAnsi="Verdana" w:cs="Arial"/>
          <w:sz w:val="24"/>
          <w:szCs w:val="24"/>
        </w:rPr>
        <w:t xml:space="preserve">gives the Grumpy Old Accountants a reason to live…it is </w:t>
      </w:r>
      <w:r>
        <w:rPr>
          <w:rFonts w:ascii="Verdana" w:hAnsi="Verdana" w:cs="Arial"/>
          <w:sz w:val="24"/>
          <w:szCs w:val="24"/>
        </w:rPr>
        <w:t>an interesting firm.  It has some interesting tidbits, as we have discussed.  What the plusses and minuses mean we shall leave to readers and their amazing valuation models.  In the meantime, we promise to continue to watch this firm and see what transpires in future filings.</w:t>
      </w:r>
    </w:p>
    <w:p w:rsidR="00A61C2C" w:rsidRPr="00656A82" w:rsidRDefault="00A61C2C"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r w:rsidRPr="00EE3621">
        <w:rPr>
          <w:rFonts w:ascii="Verdana" w:hAnsi="Verdana"/>
          <w:i/>
        </w:rPr>
        <w:t>This essay reflects the opinion of the authors and not necessarily the opinions of The Pennsylvania State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55850"/>
    <w:multiLevelType w:val="hybridMultilevel"/>
    <w:tmpl w:val="6D6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665E6"/>
    <w:multiLevelType w:val="hybridMultilevel"/>
    <w:tmpl w:val="F2684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0"/>
  </w:num>
  <w:num w:numId="5">
    <w:abstractNumId w:val="14"/>
  </w:num>
  <w:num w:numId="6">
    <w:abstractNumId w:val="6"/>
  </w:num>
  <w:num w:numId="7">
    <w:abstractNumId w:val="7"/>
  </w:num>
  <w:num w:numId="8">
    <w:abstractNumId w:val="3"/>
  </w:num>
  <w:num w:numId="9">
    <w:abstractNumId w:val="12"/>
  </w:num>
  <w:num w:numId="10">
    <w:abstractNumId w:val="1"/>
  </w:num>
  <w:num w:numId="11">
    <w:abstractNumId w:val="11"/>
  </w:num>
  <w:num w:numId="12">
    <w:abstractNumId w:val="13"/>
  </w:num>
  <w:num w:numId="13">
    <w:abstractNumId w:val="8"/>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3A1E"/>
    <w:rsid w:val="00014F46"/>
    <w:rsid w:val="00032D82"/>
    <w:rsid w:val="000334D4"/>
    <w:rsid w:val="000374C2"/>
    <w:rsid w:val="00052C5C"/>
    <w:rsid w:val="00070A9F"/>
    <w:rsid w:val="00081916"/>
    <w:rsid w:val="0008518C"/>
    <w:rsid w:val="00093316"/>
    <w:rsid w:val="000A3CC5"/>
    <w:rsid w:val="000A52AA"/>
    <w:rsid w:val="000A68B5"/>
    <w:rsid w:val="000B0974"/>
    <w:rsid w:val="000C0DAE"/>
    <w:rsid w:val="000C6302"/>
    <w:rsid w:val="000D246D"/>
    <w:rsid w:val="000D63FF"/>
    <w:rsid w:val="000E2E4F"/>
    <w:rsid w:val="000F42DF"/>
    <w:rsid w:val="00124510"/>
    <w:rsid w:val="00124D4C"/>
    <w:rsid w:val="0013205C"/>
    <w:rsid w:val="00156B45"/>
    <w:rsid w:val="00157DE0"/>
    <w:rsid w:val="00162F11"/>
    <w:rsid w:val="00166500"/>
    <w:rsid w:val="0016737C"/>
    <w:rsid w:val="00174097"/>
    <w:rsid w:val="00175842"/>
    <w:rsid w:val="00176F35"/>
    <w:rsid w:val="001823C4"/>
    <w:rsid w:val="001834C7"/>
    <w:rsid w:val="00185588"/>
    <w:rsid w:val="001978FB"/>
    <w:rsid w:val="001A35D6"/>
    <w:rsid w:val="001A4C91"/>
    <w:rsid w:val="001A523B"/>
    <w:rsid w:val="001A5685"/>
    <w:rsid w:val="001A63DD"/>
    <w:rsid w:val="001B2AE8"/>
    <w:rsid w:val="001B3448"/>
    <w:rsid w:val="001B54FF"/>
    <w:rsid w:val="001C3948"/>
    <w:rsid w:val="001C5C9F"/>
    <w:rsid w:val="001C7FFA"/>
    <w:rsid w:val="001E151E"/>
    <w:rsid w:val="0020134E"/>
    <w:rsid w:val="0020293D"/>
    <w:rsid w:val="002134E1"/>
    <w:rsid w:val="00215FD8"/>
    <w:rsid w:val="002254DA"/>
    <w:rsid w:val="002348DA"/>
    <w:rsid w:val="002525F7"/>
    <w:rsid w:val="00254206"/>
    <w:rsid w:val="00264576"/>
    <w:rsid w:val="0028077B"/>
    <w:rsid w:val="00285D9E"/>
    <w:rsid w:val="002921E3"/>
    <w:rsid w:val="002954BA"/>
    <w:rsid w:val="00295EE1"/>
    <w:rsid w:val="002A35CE"/>
    <w:rsid w:val="002B0A9D"/>
    <w:rsid w:val="002B29A5"/>
    <w:rsid w:val="002C3E0F"/>
    <w:rsid w:val="002C4F22"/>
    <w:rsid w:val="002F116C"/>
    <w:rsid w:val="002F1C18"/>
    <w:rsid w:val="00304385"/>
    <w:rsid w:val="00307529"/>
    <w:rsid w:val="0031191B"/>
    <w:rsid w:val="00313884"/>
    <w:rsid w:val="00315910"/>
    <w:rsid w:val="00316C9F"/>
    <w:rsid w:val="003259CE"/>
    <w:rsid w:val="00327520"/>
    <w:rsid w:val="0032760C"/>
    <w:rsid w:val="00337E70"/>
    <w:rsid w:val="003614EA"/>
    <w:rsid w:val="00362844"/>
    <w:rsid w:val="00362D5A"/>
    <w:rsid w:val="00382259"/>
    <w:rsid w:val="00383ECD"/>
    <w:rsid w:val="00387AD3"/>
    <w:rsid w:val="0039366C"/>
    <w:rsid w:val="00394F33"/>
    <w:rsid w:val="003A627B"/>
    <w:rsid w:val="003B5481"/>
    <w:rsid w:val="003C220B"/>
    <w:rsid w:val="003C2F39"/>
    <w:rsid w:val="003C370E"/>
    <w:rsid w:val="003D7633"/>
    <w:rsid w:val="003E2195"/>
    <w:rsid w:val="003E2AD6"/>
    <w:rsid w:val="003F2470"/>
    <w:rsid w:val="003F6FEC"/>
    <w:rsid w:val="00407FE7"/>
    <w:rsid w:val="00423830"/>
    <w:rsid w:val="00430CC2"/>
    <w:rsid w:val="00441449"/>
    <w:rsid w:val="00443813"/>
    <w:rsid w:val="00452131"/>
    <w:rsid w:val="004534FA"/>
    <w:rsid w:val="00460BD2"/>
    <w:rsid w:val="00462330"/>
    <w:rsid w:val="00465E6E"/>
    <w:rsid w:val="00471A13"/>
    <w:rsid w:val="00480DB5"/>
    <w:rsid w:val="00482173"/>
    <w:rsid w:val="004B03F1"/>
    <w:rsid w:val="004B57C9"/>
    <w:rsid w:val="004D6BFC"/>
    <w:rsid w:val="004E7B9C"/>
    <w:rsid w:val="004F264C"/>
    <w:rsid w:val="004F5CE8"/>
    <w:rsid w:val="004F5EB2"/>
    <w:rsid w:val="0050716A"/>
    <w:rsid w:val="005100B0"/>
    <w:rsid w:val="005174B2"/>
    <w:rsid w:val="00520260"/>
    <w:rsid w:val="00520832"/>
    <w:rsid w:val="00527961"/>
    <w:rsid w:val="00534915"/>
    <w:rsid w:val="00547265"/>
    <w:rsid w:val="00560422"/>
    <w:rsid w:val="00566ACC"/>
    <w:rsid w:val="005679C2"/>
    <w:rsid w:val="00572989"/>
    <w:rsid w:val="0058071A"/>
    <w:rsid w:val="005877D3"/>
    <w:rsid w:val="00591E9C"/>
    <w:rsid w:val="005B3AFB"/>
    <w:rsid w:val="005B5C4B"/>
    <w:rsid w:val="005B6B3D"/>
    <w:rsid w:val="005B7BA1"/>
    <w:rsid w:val="005C5AA8"/>
    <w:rsid w:val="005C719F"/>
    <w:rsid w:val="005C7FC3"/>
    <w:rsid w:val="005D3219"/>
    <w:rsid w:val="005D548A"/>
    <w:rsid w:val="005E40D4"/>
    <w:rsid w:val="005F2D0B"/>
    <w:rsid w:val="006062C5"/>
    <w:rsid w:val="00626CA8"/>
    <w:rsid w:val="00630BC8"/>
    <w:rsid w:val="00654AEE"/>
    <w:rsid w:val="00656A82"/>
    <w:rsid w:val="006627DB"/>
    <w:rsid w:val="00671DE9"/>
    <w:rsid w:val="00680C26"/>
    <w:rsid w:val="00681673"/>
    <w:rsid w:val="006A2E31"/>
    <w:rsid w:val="006A5825"/>
    <w:rsid w:val="006A7CF1"/>
    <w:rsid w:val="006B5167"/>
    <w:rsid w:val="006C0D38"/>
    <w:rsid w:val="006D40B4"/>
    <w:rsid w:val="006F298B"/>
    <w:rsid w:val="00701811"/>
    <w:rsid w:val="007069CC"/>
    <w:rsid w:val="00716893"/>
    <w:rsid w:val="0072083E"/>
    <w:rsid w:val="007240D6"/>
    <w:rsid w:val="007310E9"/>
    <w:rsid w:val="007350F2"/>
    <w:rsid w:val="00741CC4"/>
    <w:rsid w:val="00753045"/>
    <w:rsid w:val="0075714F"/>
    <w:rsid w:val="00757D6E"/>
    <w:rsid w:val="00762517"/>
    <w:rsid w:val="00762F72"/>
    <w:rsid w:val="007708D6"/>
    <w:rsid w:val="007935E9"/>
    <w:rsid w:val="00795EDC"/>
    <w:rsid w:val="00797B40"/>
    <w:rsid w:val="007A1A8C"/>
    <w:rsid w:val="007A54C7"/>
    <w:rsid w:val="007C2521"/>
    <w:rsid w:val="007D30EB"/>
    <w:rsid w:val="007D7854"/>
    <w:rsid w:val="007E274D"/>
    <w:rsid w:val="007E4E7D"/>
    <w:rsid w:val="00823AFE"/>
    <w:rsid w:val="0082531D"/>
    <w:rsid w:val="00825D4D"/>
    <w:rsid w:val="00826541"/>
    <w:rsid w:val="008265E1"/>
    <w:rsid w:val="00830A0B"/>
    <w:rsid w:val="00834103"/>
    <w:rsid w:val="00837DE8"/>
    <w:rsid w:val="00847F54"/>
    <w:rsid w:val="00853348"/>
    <w:rsid w:val="00867351"/>
    <w:rsid w:val="00874083"/>
    <w:rsid w:val="008777B4"/>
    <w:rsid w:val="0088295A"/>
    <w:rsid w:val="00885921"/>
    <w:rsid w:val="00897DA3"/>
    <w:rsid w:val="008B5E1A"/>
    <w:rsid w:val="008C2AFE"/>
    <w:rsid w:val="008C691D"/>
    <w:rsid w:val="008D2071"/>
    <w:rsid w:val="008D5DE7"/>
    <w:rsid w:val="008E0442"/>
    <w:rsid w:val="008E6D9D"/>
    <w:rsid w:val="00905370"/>
    <w:rsid w:val="009066DA"/>
    <w:rsid w:val="00907BCA"/>
    <w:rsid w:val="00930C78"/>
    <w:rsid w:val="0093354B"/>
    <w:rsid w:val="00952126"/>
    <w:rsid w:val="009552D6"/>
    <w:rsid w:val="00964542"/>
    <w:rsid w:val="009652C3"/>
    <w:rsid w:val="00974768"/>
    <w:rsid w:val="00975403"/>
    <w:rsid w:val="009A0991"/>
    <w:rsid w:val="009A26FD"/>
    <w:rsid w:val="009A40B3"/>
    <w:rsid w:val="009A6D9B"/>
    <w:rsid w:val="009B1A90"/>
    <w:rsid w:val="009D0A1D"/>
    <w:rsid w:val="009D3CF4"/>
    <w:rsid w:val="009D772A"/>
    <w:rsid w:val="009E4B9A"/>
    <w:rsid w:val="009F0A97"/>
    <w:rsid w:val="00A02E34"/>
    <w:rsid w:val="00A03ADF"/>
    <w:rsid w:val="00A06B5A"/>
    <w:rsid w:val="00A11437"/>
    <w:rsid w:val="00A14E6E"/>
    <w:rsid w:val="00A2604A"/>
    <w:rsid w:val="00A35333"/>
    <w:rsid w:val="00A501CA"/>
    <w:rsid w:val="00A56122"/>
    <w:rsid w:val="00A61C2C"/>
    <w:rsid w:val="00A623DC"/>
    <w:rsid w:val="00A759EC"/>
    <w:rsid w:val="00A94ED1"/>
    <w:rsid w:val="00AB5DEF"/>
    <w:rsid w:val="00AC081E"/>
    <w:rsid w:val="00AC7090"/>
    <w:rsid w:val="00AD6616"/>
    <w:rsid w:val="00AD6A29"/>
    <w:rsid w:val="00AE44C0"/>
    <w:rsid w:val="00B1005D"/>
    <w:rsid w:val="00B11CE6"/>
    <w:rsid w:val="00B12949"/>
    <w:rsid w:val="00B20912"/>
    <w:rsid w:val="00B20A52"/>
    <w:rsid w:val="00B22B1B"/>
    <w:rsid w:val="00B3618F"/>
    <w:rsid w:val="00B5636F"/>
    <w:rsid w:val="00B7722F"/>
    <w:rsid w:val="00B77990"/>
    <w:rsid w:val="00B77E24"/>
    <w:rsid w:val="00B80F61"/>
    <w:rsid w:val="00B8681F"/>
    <w:rsid w:val="00B91B36"/>
    <w:rsid w:val="00B91C46"/>
    <w:rsid w:val="00B92AA2"/>
    <w:rsid w:val="00BB6235"/>
    <w:rsid w:val="00BB70EE"/>
    <w:rsid w:val="00BC1DB8"/>
    <w:rsid w:val="00BC33AB"/>
    <w:rsid w:val="00BD1C30"/>
    <w:rsid w:val="00BD3B4C"/>
    <w:rsid w:val="00BD4859"/>
    <w:rsid w:val="00BD5A48"/>
    <w:rsid w:val="00BE5852"/>
    <w:rsid w:val="00BE5F10"/>
    <w:rsid w:val="00BF4BFB"/>
    <w:rsid w:val="00BF4CC9"/>
    <w:rsid w:val="00BF663F"/>
    <w:rsid w:val="00C02A18"/>
    <w:rsid w:val="00C0326A"/>
    <w:rsid w:val="00C04A39"/>
    <w:rsid w:val="00C06BB5"/>
    <w:rsid w:val="00C06C9A"/>
    <w:rsid w:val="00C14B68"/>
    <w:rsid w:val="00C17B64"/>
    <w:rsid w:val="00C25606"/>
    <w:rsid w:val="00C265D4"/>
    <w:rsid w:val="00C40DDB"/>
    <w:rsid w:val="00C7386E"/>
    <w:rsid w:val="00C73BEA"/>
    <w:rsid w:val="00C83508"/>
    <w:rsid w:val="00C84E3D"/>
    <w:rsid w:val="00C860E9"/>
    <w:rsid w:val="00C86325"/>
    <w:rsid w:val="00CA4259"/>
    <w:rsid w:val="00CB2C19"/>
    <w:rsid w:val="00CB7FD0"/>
    <w:rsid w:val="00CC7B0A"/>
    <w:rsid w:val="00CD03CB"/>
    <w:rsid w:val="00CD0E7F"/>
    <w:rsid w:val="00CD27FE"/>
    <w:rsid w:val="00CE1F6F"/>
    <w:rsid w:val="00CE5101"/>
    <w:rsid w:val="00CF567E"/>
    <w:rsid w:val="00CF5BF7"/>
    <w:rsid w:val="00D005BC"/>
    <w:rsid w:val="00D04C30"/>
    <w:rsid w:val="00D10237"/>
    <w:rsid w:val="00D11F6F"/>
    <w:rsid w:val="00D15B07"/>
    <w:rsid w:val="00D42D55"/>
    <w:rsid w:val="00D4458B"/>
    <w:rsid w:val="00D546A3"/>
    <w:rsid w:val="00D54EF4"/>
    <w:rsid w:val="00D552C9"/>
    <w:rsid w:val="00D61215"/>
    <w:rsid w:val="00D66F58"/>
    <w:rsid w:val="00D70302"/>
    <w:rsid w:val="00D72331"/>
    <w:rsid w:val="00D779B7"/>
    <w:rsid w:val="00D92C5E"/>
    <w:rsid w:val="00D94D28"/>
    <w:rsid w:val="00D96CB6"/>
    <w:rsid w:val="00D97F49"/>
    <w:rsid w:val="00DA29E6"/>
    <w:rsid w:val="00DA6EAF"/>
    <w:rsid w:val="00DB3B45"/>
    <w:rsid w:val="00DB5864"/>
    <w:rsid w:val="00DC6A24"/>
    <w:rsid w:val="00DD3721"/>
    <w:rsid w:val="00DE470E"/>
    <w:rsid w:val="00DE58F7"/>
    <w:rsid w:val="00DF0BCE"/>
    <w:rsid w:val="00E0278C"/>
    <w:rsid w:val="00E0530E"/>
    <w:rsid w:val="00E10ACB"/>
    <w:rsid w:val="00E12A7D"/>
    <w:rsid w:val="00E13EA4"/>
    <w:rsid w:val="00E26ACF"/>
    <w:rsid w:val="00E318EE"/>
    <w:rsid w:val="00E369B9"/>
    <w:rsid w:val="00E43025"/>
    <w:rsid w:val="00E50821"/>
    <w:rsid w:val="00E656F7"/>
    <w:rsid w:val="00E6651F"/>
    <w:rsid w:val="00E70E2E"/>
    <w:rsid w:val="00E76229"/>
    <w:rsid w:val="00E81155"/>
    <w:rsid w:val="00E85258"/>
    <w:rsid w:val="00E9574D"/>
    <w:rsid w:val="00EA70D3"/>
    <w:rsid w:val="00EA73DD"/>
    <w:rsid w:val="00EB4D4A"/>
    <w:rsid w:val="00EB75E6"/>
    <w:rsid w:val="00ED3830"/>
    <w:rsid w:val="00ED708A"/>
    <w:rsid w:val="00EE3621"/>
    <w:rsid w:val="00EE62E4"/>
    <w:rsid w:val="00EE6A29"/>
    <w:rsid w:val="00EF3CB2"/>
    <w:rsid w:val="00F0140C"/>
    <w:rsid w:val="00F11743"/>
    <w:rsid w:val="00F11B2D"/>
    <w:rsid w:val="00F223EE"/>
    <w:rsid w:val="00F30982"/>
    <w:rsid w:val="00F37BB7"/>
    <w:rsid w:val="00F454E5"/>
    <w:rsid w:val="00F61B68"/>
    <w:rsid w:val="00F66731"/>
    <w:rsid w:val="00F7237C"/>
    <w:rsid w:val="00F7596C"/>
    <w:rsid w:val="00F8568F"/>
    <w:rsid w:val="00F93625"/>
    <w:rsid w:val="00F94C21"/>
    <w:rsid w:val="00F95297"/>
    <w:rsid w:val="00FA205D"/>
    <w:rsid w:val="00FA305E"/>
    <w:rsid w:val="00FA64DD"/>
    <w:rsid w:val="00FB352F"/>
    <w:rsid w:val="00FB7F87"/>
    <w:rsid w:val="00FC520E"/>
    <w:rsid w:val="00FC5D0E"/>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DA6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709641">
      <w:bodyDiv w:val="1"/>
      <w:marLeft w:val="0"/>
      <w:marRight w:val="0"/>
      <w:marTop w:val="0"/>
      <w:marBottom w:val="0"/>
      <w:divBdr>
        <w:top w:val="none" w:sz="0" w:space="0" w:color="auto"/>
        <w:left w:val="none" w:sz="0" w:space="0" w:color="auto"/>
        <w:bottom w:val="none" w:sz="0" w:space="0" w:color="auto"/>
        <w:right w:val="none" w:sz="0" w:space="0" w:color="auto"/>
      </w:divBdr>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eal.psu.edu/grumpyoldaccountants/archives/560" TargetMode="External"/><Relationship Id="rId3" Type="http://schemas.openxmlformats.org/officeDocument/2006/relationships/settings" Target="settings.xml"/><Relationship Id="rId7" Type="http://schemas.openxmlformats.org/officeDocument/2006/relationships/hyperlink" Target="http://blogs.smeal.psu.edu/grumpyoldaccountants/archives/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smeal.psu.edu/grumpyoldaccountants/archives/542" TargetMode="External"/><Relationship Id="rId5" Type="http://schemas.openxmlformats.org/officeDocument/2006/relationships/hyperlink" Target="http://blogs.smeal.psu.edu/grumpyoldaccountants/archives/3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5</cp:revision>
  <cp:lastPrinted>2011-08-13T14:23:00Z</cp:lastPrinted>
  <dcterms:created xsi:type="dcterms:W3CDTF">2012-03-22T13:46:00Z</dcterms:created>
  <dcterms:modified xsi:type="dcterms:W3CDTF">2012-03-22T13:53:00Z</dcterms:modified>
</cp:coreProperties>
</file>