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7B" w:rsidRDefault="000E087B" w:rsidP="005D7251">
      <w:pPr>
        <w:rPr>
          <w:rFonts w:ascii="Arial" w:hAnsi="Arial" w:cs="Arial"/>
          <w:b/>
          <w:sz w:val="28"/>
          <w:szCs w:val="28"/>
        </w:rPr>
      </w:pPr>
      <w:r>
        <w:rPr>
          <w:rFonts w:ascii="Arial" w:hAnsi="Arial" w:cs="Arial"/>
          <w:b/>
          <w:sz w:val="28"/>
          <w:szCs w:val="28"/>
        </w:rPr>
        <w:t>“FORD HAS A BETTER IDEA” ON HOW TO INCREASE EARNINGS:</w:t>
      </w:r>
    </w:p>
    <w:p w:rsidR="005D7251" w:rsidRDefault="000E087B" w:rsidP="005D7251">
      <w:pPr>
        <w:rPr>
          <w:rFonts w:ascii="Arial" w:hAnsi="Arial" w:cs="Arial"/>
          <w:b/>
          <w:sz w:val="28"/>
          <w:szCs w:val="28"/>
        </w:rPr>
      </w:pPr>
      <w:r>
        <w:rPr>
          <w:rFonts w:ascii="Arial" w:hAnsi="Arial" w:cs="Arial"/>
          <w:b/>
          <w:sz w:val="28"/>
          <w:szCs w:val="28"/>
        </w:rPr>
        <w:t>NOT REALLY</w:t>
      </w:r>
    </w:p>
    <w:p w:rsidR="00E81155" w:rsidRDefault="00E81155" w:rsidP="00E81155">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2083E">
        <w:rPr>
          <w:rFonts w:ascii="Arial" w:hAnsi="Arial" w:cs="Arial"/>
          <w:b/>
          <w:i/>
          <w:sz w:val="24"/>
          <w:szCs w:val="24"/>
        </w:rPr>
        <w:t>March</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0F42DF" w:rsidRDefault="00CF6E0F" w:rsidP="00DA29E6">
      <w:pPr>
        <w:rPr>
          <w:rFonts w:ascii="Verdana" w:hAnsi="Verdana" w:cs="Arial"/>
          <w:sz w:val="24"/>
          <w:szCs w:val="24"/>
        </w:rPr>
      </w:pPr>
      <w:r>
        <w:rPr>
          <w:rFonts w:ascii="Verdana" w:hAnsi="Verdana" w:cs="Arial"/>
          <w:sz w:val="24"/>
          <w:szCs w:val="24"/>
        </w:rPr>
        <w:t xml:space="preserve">Remember that old slogan from the 1960s?  Unfortunately, we do!  And in </w:t>
      </w:r>
      <w:r w:rsidR="005D7251">
        <w:rPr>
          <w:rFonts w:ascii="Verdana" w:hAnsi="Verdana" w:cs="Arial"/>
          <w:sz w:val="24"/>
          <w:szCs w:val="24"/>
        </w:rPr>
        <w:t xml:space="preserve">January we heard about </w:t>
      </w:r>
      <w:hyperlink r:id="rId5" w:history="1">
        <w:r w:rsidR="004530EF">
          <w:rPr>
            <w:rStyle w:val="Hyperlink"/>
            <w:rFonts w:ascii="Verdana" w:hAnsi="Verdana" w:cs="Arial"/>
            <w:sz w:val="24"/>
            <w:szCs w:val="24"/>
          </w:rPr>
          <w:t xml:space="preserve">Ford’s </w:t>
        </w:r>
        <w:r w:rsidR="005D7251" w:rsidRPr="005D7251">
          <w:rPr>
            <w:rStyle w:val="Hyperlink"/>
            <w:rFonts w:ascii="Verdana" w:hAnsi="Verdana" w:cs="Arial"/>
            <w:sz w:val="24"/>
            <w:szCs w:val="24"/>
          </w:rPr>
          <w:t>great year in 2011</w:t>
        </w:r>
      </w:hyperlink>
      <w:r w:rsidR="005D7251">
        <w:rPr>
          <w:rFonts w:ascii="Verdana" w:hAnsi="Verdana" w:cs="Arial"/>
          <w:sz w:val="24"/>
          <w:szCs w:val="24"/>
        </w:rPr>
        <w:t xml:space="preserve">, having increased net income by a substantial amount.  </w:t>
      </w:r>
      <w:r>
        <w:rPr>
          <w:rFonts w:ascii="Verdana" w:hAnsi="Verdana" w:cs="Arial"/>
          <w:sz w:val="24"/>
          <w:szCs w:val="24"/>
        </w:rPr>
        <w:t xml:space="preserve">Was this due to Ford having a “better idea?”  </w:t>
      </w:r>
      <w:r w:rsidR="005D7251">
        <w:rPr>
          <w:rFonts w:ascii="Verdana" w:hAnsi="Verdana" w:cs="Arial"/>
          <w:sz w:val="24"/>
          <w:szCs w:val="24"/>
        </w:rPr>
        <w:t xml:space="preserve">We waited until the firm issued its 10-K </w:t>
      </w:r>
      <w:r w:rsidR="004530EF">
        <w:rPr>
          <w:rFonts w:ascii="Verdana" w:hAnsi="Verdana" w:cs="Arial"/>
          <w:sz w:val="24"/>
          <w:szCs w:val="24"/>
        </w:rPr>
        <w:t xml:space="preserve">to </w:t>
      </w:r>
      <w:r>
        <w:rPr>
          <w:rFonts w:ascii="Verdana" w:hAnsi="Verdana" w:cs="Arial"/>
          <w:sz w:val="24"/>
          <w:szCs w:val="24"/>
        </w:rPr>
        <w:t xml:space="preserve">find out, </w:t>
      </w:r>
      <w:r w:rsidR="005D7251">
        <w:rPr>
          <w:rFonts w:ascii="Verdana" w:hAnsi="Verdana" w:cs="Arial"/>
          <w:sz w:val="24"/>
          <w:szCs w:val="24"/>
        </w:rPr>
        <w:t xml:space="preserve">so </w:t>
      </w:r>
      <w:r w:rsidR="004530EF">
        <w:rPr>
          <w:rFonts w:ascii="Verdana" w:hAnsi="Verdana" w:cs="Arial"/>
          <w:sz w:val="24"/>
          <w:szCs w:val="24"/>
        </w:rPr>
        <w:t xml:space="preserve">that </w:t>
      </w:r>
      <w:r w:rsidR="005D7251">
        <w:rPr>
          <w:rFonts w:ascii="Verdana" w:hAnsi="Verdana" w:cs="Arial"/>
          <w:sz w:val="24"/>
          <w:szCs w:val="24"/>
        </w:rPr>
        <w:t xml:space="preserve">we had some audited statements </w:t>
      </w:r>
      <w:r w:rsidR="0013578B">
        <w:rPr>
          <w:rFonts w:ascii="Verdana" w:hAnsi="Verdana" w:cs="Arial"/>
          <w:sz w:val="24"/>
          <w:szCs w:val="24"/>
        </w:rPr>
        <w:t xml:space="preserve">and footnotes </w:t>
      </w:r>
      <w:r w:rsidR="004530EF">
        <w:rPr>
          <w:rFonts w:ascii="Verdana" w:hAnsi="Verdana" w:cs="Arial"/>
          <w:sz w:val="24"/>
          <w:szCs w:val="24"/>
        </w:rPr>
        <w:t xml:space="preserve">to read.  Not surprisingly, </w:t>
      </w:r>
      <w:r w:rsidR="00A2181F">
        <w:rPr>
          <w:rFonts w:ascii="Verdana" w:hAnsi="Verdana" w:cs="Arial"/>
          <w:sz w:val="24"/>
          <w:szCs w:val="24"/>
        </w:rPr>
        <w:t xml:space="preserve">the Company’s </w:t>
      </w:r>
      <w:r w:rsidR="005D7251">
        <w:rPr>
          <w:rFonts w:ascii="Verdana" w:hAnsi="Verdana" w:cs="Arial"/>
          <w:sz w:val="24"/>
          <w:szCs w:val="24"/>
        </w:rPr>
        <w:t>annual report leaves us underwhelmed.</w:t>
      </w:r>
    </w:p>
    <w:p w:rsidR="005D7251" w:rsidRDefault="005D7251" w:rsidP="00DA29E6">
      <w:pPr>
        <w:rPr>
          <w:rFonts w:ascii="Verdana" w:hAnsi="Verdana" w:cs="Arial"/>
          <w:sz w:val="24"/>
          <w:szCs w:val="24"/>
        </w:rPr>
      </w:pPr>
    </w:p>
    <w:p w:rsidR="00FD2CF4" w:rsidRDefault="00FD2CF4" w:rsidP="00DA29E6">
      <w:pPr>
        <w:rPr>
          <w:rFonts w:ascii="Verdana" w:hAnsi="Verdana" w:cs="Arial"/>
          <w:sz w:val="24"/>
          <w:szCs w:val="24"/>
        </w:rPr>
      </w:pPr>
      <w:r>
        <w:rPr>
          <w:rFonts w:ascii="Verdana" w:hAnsi="Verdana" w:cs="Arial"/>
          <w:sz w:val="24"/>
          <w:szCs w:val="24"/>
        </w:rPr>
        <w:t>The reason for our angst</w:t>
      </w:r>
      <w:r w:rsidR="00A2181F">
        <w:rPr>
          <w:rFonts w:ascii="Verdana" w:hAnsi="Verdana" w:cs="Arial"/>
          <w:sz w:val="24"/>
          <w:szCs w:val="24"/>
        </w:rPr>
        <w:t xml:space="preserve">?  Over </w:t>
      </w:r>
      <w:r>
        <w:rPr>
          <w:rFonts w:ascii="Verdana" w:hAnsi="Verdana" w:cs="Arial"/>
          <w:sz w:val="24"/>
          <w:szCs w:val="24"/>
        </w:rPr>
        <w:t xml:space="preserve">half </w:t>
      </w:r>
      <w:r w:rsidR="00A2181F">
        <w:rPr>
          <w:rFonts w:ascii="Verdana" w:hAnsi="Verdana" w:cs="Arial"/>
          <w:sz w:val="24"/>
          <w:szCs w:val="24"/>
        </w:rPr>
        <w:t>of Ford’s net income</w:t>
      </w:r>
      <w:r>
        <w:rPr>
          <w:rFonts w:ascii="Verdana" w:hAnsi="Verdana" w:cs="Arial"/>
          <w:sz w:val="24"/>
          <w:szCs w:val="24"/>
        </w:rPr>
        <w:t xml:space="preserve"> is coming from </w:t>
      </w:r>
      <w:r w:rsidR="00A2181F">
        <w:rPr>
          <w:rFonts w:ascii="Verdana" w:hAnsi="Verdana" w:cs="Arial"/>
          <w:sz w:val="24"/>
          <w:szCs w:val="24"/>
        </w:rPr>
        <w:t xml:space="preserve">the reversal of its deferred tax asset valuation allowances!  You may recall that we first expressed our displeasure with corporate managers who pumped earnings via </w:t>
      </w:r>
      <w:r w:rsidR="00AB1EF1">
        <w:rPr>
          <w:rFonts w:ascii="Verdana" w:hAnsi="Verdana" w:cs="Arial"/>
          <w:sz w:val="24"/>
          <w:szCs w:val="24"/>
        </w:rPr>
        <w:t>creative</w:t>
      </w:r>
      <w:r w:rsidR="00A2181F">
        <w:rPr>
          <w:rFonts w:ascii="Verdana" w:hAnsi="Verdana" w:cs="Arial"/>
          <w:sz w:val="24"/>
          <w:szCs w:val="24"/>
        </w:rPr>
        <w:t xml:space="preserve"> tax accounting in </w:t>
      </w:r>
      <w:hyperlink r:id="rId6" w:history="1">
        <w:r w:rsidR="00A2181F" w:rsidRPr="00A2181F">
          <w:rPr>
            <w:rStyle w:val="Hyperlink"/>
            <w:rFonts w:ascii="Verdana" w:hAnsi="Verdana" w:cs="Arial"/>
            <w:sz w:val="24"/>
            <w:szCs w:val="24"/>
          </w:rPr>
          <w:t>Rite Aid: Is Management Selling Drugs or Using Them?</w:t>
        </w:r>
      </w:hyperlink>
      <w:r w:rsidR="00A2181F">
        <w:rPr>
          <w:rFonts w:ascii="Verdana" w:hAnsi="Verdana" w:cs="Arial"/>
          <w:sz w:val="24"/>
          <w:szCs w:val="24"/>
        </w:rPr>
        <w:t xml:space="preserve">  In </w:t>
      </w:r>
      <w:r>
        <w:rPr>
          <w:rFonts w:ascii="Verdana" w:hAnsi="Verdana" w:cs="Arial"/>
          <w:sz w:val="24"/>
          <w:szCs w:val="24"/>
        </w:rPr>
        <w:t xml:space="preserve">Ford’s </w:t>
      </w:r>
      <w:r w:rsidR="00A2181F">
        <w:rPr>
          <w:rFonts w:ascii="Verdana" w:hAnsi="Verdana" w:cs="Arial"/>
          <w:sz w:val="24"/>
          <w:szCs w:val="24"/>
        </w:rPr>
        <w:t xml:space="preserve">case, the Company </w:t>
      </w:r>
      <w:r w:rsidR="00E02743">
        <w:rPr>
          <w:rFonts w:ascii="Verdana" w:hAnsi="Verdana" w:cs="Arial"/>
          <w:sz w:val="24"/>
          <w:szCs w:val="24"/>
        </w:rPr>
        <w:t>juiced its bottom line by $11,541 to $</w:t>
      </w:r>
      <w:r>
        <w:rPr>
          <w:rFonts w:ascii="Verdana" w:hAnsi="Verdana" w:cs="Arial"/>
          <w:sz w:val="24"/>
          <w:szCs w:val="24"/>
        </w:rPr>
        <w:t>20,213 (all dollar nu</w:t>
      </w:r>
      <w:r w:rsidR="00AB1EF1">
        <w:rPr>
          <w:rFonts w:ascii="Verdana" w:hAnsi="Verdana" w:cs="Arial"/>
          <w:sz w:val="24"/>
          <w:szCs w:val="24"/>
        </w:rPr>
        <w:t>mbers are in millions</w:t>
      </w:r>
      <w:r>
        <w:rPr>
          <w:rFonts w:ascii="Verdana" w:hAnsi="Verdana" w:cs="Arial"/>
          <w:sz w:val="24"/>
          <w:szCs w:val="24"/>
        </w:rPr>
        <w:t xml:space="preserve">), </w:t>
      </w:r>
      <w:r w:rsidR="00E02743">
        <w:rPr>
          <w:rFonts w:ascii="Verdana" w:hAnsi="Verdana" w:cs="Arial"/>
          <w:sz w:val="24"/>
          <w:szCs w:val="24"/>
        </w:rPr>
        <w:t xml:space="preserve">an increase of over 57 percent, with the stroke of a pen.  To accomplish this, Ford simply increased </w:t>
      </w:r>
      <w:r>
        <w:rPr>
          <w:rFonts w:ascii="Verdana" w:hAnsi="Verdana" w:cs="Arial"/>
          <w:sz w:val="24"/>
          <w:szCs w:val="24"/>
        </w:rPr>
        <w:t>deferred tax assets by $11,541</w:t>
      </w:r>
      <w:r w:rsidR="00E02743">
        <w:rPr>
          <w:rFonts w:ascii="Verdana" w:hAnsi="Verdana" w:cs="Arial"/>
          <w:sz w:val="24"/>
          <w:szCs w:val="24"/>
        </w:rPr>
        <w:t xml:space="preserve"> and reduced income tax expense</w:t>
      </w:r>
      <w:r>
        <w:rPr>
          <w:rFonts w:ascii="Verdana" w:hAnsi="Verdana" w:cs="Arial"/>
          <w:sz w:val="24"/>
          <w:szCs w:val="24"/>
        </w:rPr>
        <w:t>!  Without this adjustment, net income would h</w:t>
      </w:r>
      <w:r w:rsidR="00AB1EF1">
        <w:rPr>
          <w:rFonts w:ascii="Verdana" w:hAnsi="Verdana" w:cs="Arial"/>
          <w:sz w:val="24"/>
          <w:szCs w:val="24"/>
        </w:rPr>
        <w:t xml:space="preserve">ave been a more humble but </w:t>
      </w:r>
      <w:r>
        <w:rPr>
          <w:rFonts w:ascii="Verdana" w:hAnsi="Verdana" w:cs="Arial"/>
          <w:sz w:val="24"/>
          <w:szCs w:val="24"/>
        </w:rPr>
        <w:t>realistic $8,672</w:t>
      </w:r>
      <w:r w:rsidR="00E02743">
        <w:rPr>
          <w:rFonts w:ascii="Verdana" w:hAnsi="Verdana" w:cs="Arial"/>
          <w:sz w:val="24"/>
          <w:szCs w:val="24"/>
        </w:rPr>
        <w:t>, more in line with 2010’s $6,561 or 2009’s $2,717</w:t>
      </w:r>
      <w:r>
        <w:rPr>
          <w:rFonts w:ascii="Verdana" w:hAnsi="Verdana" w:cs="Arial"/>
          <w:sz w:val="24"/>
          <w:szCs w:val="24"/>
        </w:rPr>
        <w:t>.</w:t>
      </w:r>
      <w:r w:rsidR="00CF6E0F">
        <w:rPr>
          <w:rFonts w:ascii="Verdana" w:hAnsi="Verdana" w:cs="Arial"/>
          <w:sz w:val="24"/>
          <w:szCs w:val="24"/>
        </w:rPr>
        <w:t xml:space="preserve">  Clearly, earnings quality has been compromised.</w:t>
      </w:r>
    </w:p>
    <w:p w:rsidR="00FD2CF4" w:rsidRDefault="00FD2CF4" w:rsidP="00DA29E6">
      <w:pPr>
        <w:rPr>
          <w:rFonts w:ascii="Verdana" w:hAnsi="Verdana" w:cs="Arial"/>
          <w:sz w:val="24"/>
          <w:szCs w:val="24"/>
        </w:rPr>
      </w:pPr>
    </w:p>
    <w:p w:rsidR="005D7251" w:rsidRDefault="00E02743" w:rsidP="00DA29E6">
      <w:pPr>
        <w:rPr>
          <w:rFonts w:ascii="Verdana" w:hAnsi="Verdana" w:cs="Arial"/>
          <w:sz w:val="24"/>
          <w:szCs w:val="24"/>
        </w:rPr>
      </w:pPr>
      <w:r>
        <w:rPr>
          <w:rFonts w:ascii="Verdana" w:hAnsi="Verdana" w:cs="Arial"/>
          <w:sz w:val="24"/>
          <w:szCs w:val="24"/>
        </w:rPr>
        <w:t>It is interest</w:t>
      </w:r>
      <w:r w:rsidR="00AB1EF1">
        <w:rPr>
          <w:rFonts w:ascii="Verdana" w:hAnsi="Verdana" w:cs="Arial"/>
          <w:sz w:val="24"/>
          <w:szCs w:val="24"/>
        </w:rPr>
        <w:t>ing</w:t>
      </w:r>
      <w:r>
        <w:rPr>
          <w:rFonts w:ascii="Verdana" w:hAnsi="Verdana" w:cs="Arial"/>
          <w:sz w:val="24"/>
          <w:szCs w:val="24"/>
        </w:rPr>
        <w:t xml:space="preserve"> to note that Ford buried </w:t>
      </w:r>
      <w:r w:rsidR="000E087B">
        <w:rPr>
          <w:rFonts w:ascii="Verdana" w:hAnsi="Verdana" w:cs="Arial"/>
          <w:sz w:val="24"/>
          <w:szCs w:val="24"/>
        </w:rPr>
        <w:t xml:space="preserve">the specifics of this “transaction” in </w:t>
      </w:r>
      <w:r w:rsidR="00FD2CF4">
        <w:rPr>
          <w:rFonts w:ascii="Verdana" w:hAnsi="Verdana" w:cs="Arial"/>
          <w:sz w:val="24"/>
          <w:szCs w:val="24"/>
        </w:rPr>
        <w:t xml:space="preserve">Schedule II Valuation and Qualifying Accounts </w:t>
      </w:r>
      <w:r>
        <w:rPr>
          <w:rFonts w:ascii="Verdana" w:hAnsi="Verdana" w:cs="Arial"/>
          <w:sz w:val="24"/>
          <w:szCs w:val="24"/>
        </w:rPr>
        <w:t>(FSS-1 of the Company’</w:t>
      </w:r>
      <w:r w:rsidR="000E087B">
        <w:rPr>
          <w:rFonts w:ascii="Verdana" w:hAnsi="Verdana" w:cs="Arial"/>
          <w:sz w:val="24"/>
          <w:szCs w:val="24"/>
        </w:rPr>
        <w:t>s 1</w:t>
      </w:r>
      <w:r w:rsidR="00891757">
        <w:rPr>
          <w:rFonts w:ascii="Verdana" w:hAnsi="Verdana" w:cs="Arial"/>
          <w:sz w:val="24"/>
          <w:szCs w:val="24"/>
        </w:rPr>
        <w:t>0</w:t>
      </w:r>
      <w:r w:rsidR="000E087B">
        <w:rPr>
          <w:rFonts w:ascii="Verdana" w:hAnsi="Verdana" w:cs="Arial"/>
          <w:sz w:val="24"/>
          <w:szCs w:val="24"/>
        </w:rPr>
        <w:t xml:space="preserve">-K), rather than reporting it upfront in the MD&amp;A or the tax footnote.  Schedule II clearly </w:t>
      </w:r>
      <w:r w:rsidR="00FD2CF4">
        <w:rPr>
          <w:rFonts w:ascii="Verdana" w:hAnsi="Verdana" w:cs="Arial"/>
          <w:sz w:val="24"/>
          <w:szCs w:val="24"/>
        </w:rPr>
        <w:t xml:space="preserve">reveals that much of </w:t>
      </w:r>
      <w:r w:rsidR="00891757">
        <w:rPr>
          <w:rFonts w:ascii="Verdana" w:hAnsi="Verdana" w:cs="Arial"/>
          <w:sz w:val="24"/>
          <w:szCs w:val="24"/>
        </w:rPr>
        <w:t xml:space="preserve">the Company’s </w:t>
      </w:r>
      <w:r w:rsidR="000E087B">
        <w:rPr>
          <w:rFonts w:ascii="Verdana" w:hAnsi="Verdana" w:cs="Arial"/>
          <w:sz w:val="24"/>
          <w:szCs w:val="24"/>
        </w:rPr>
        <w:t xml:space="preserve">earnings increase </w:t>
      </w:r>
      <w:r w:rsidR="00FD2CF4">
        <w:rPr>
          <w:rFonts w:ascii="Verdana" w:hAnsi="Verdana" w:cs="Arial"/>
          <w:sz w:val="24"/>
          <w:szCs w:val="24"/>
        </w:rPr>
        <w:t>was achieved by substantially reducing the allowance account</w:t>
      </w:r>
      <w:r w:rsidR="000E087B">
        <w:rPr>
          <w:rFonts w:ascii="Verdana" w:hAnsi="Verdana" w:cs="Arial"/>
          <w:sz w:val="24"/>
          <w:szCs w:val="24"/>
        </w:rPr>
        <w:t xml:space="preserve"> for deferred tax assets</w:t>
      </w:r>
      <w:r w:rsidR="00FD2CF4">
        <w:rPr>
          <w:rFonts w:ascii="Verdana" w:hAnsi="Verdana" w:cs="Arial"/>
          <w:sz w:val="24"/>
          <w:szCs w:val="24"/>
        </w:rPr>
        <w:t xml:space="preserve">.  </w:t>
      </w:r>
      <w:r w:rsidR="00217ACB">
        <w:rPr>
          <w:rFonts w:ascii="Verdana" w:hAnsi="Verdana" w:cs="Arial"/>
          <w:sz w:val="24"/>
          <w:szCs w:val="24"/>
        </w:rPr>
        <w:t>The b</w:t>
      </w:r>
      <w:r w:rsidR="00FD2CF4">
        <w:rPr>
          <w:rFonts w:ascii="Verdana" w:hAnsi="Verdana" w:cs="Arial"/>
          <w:sz w:val="24"/>
          <w:szCs w:val="24"/>
        </w:rPr>
        <w:t xml:space="preserve">eginning balance in 2011 was $15,664; by the end of the year, the </w:t>
      </w:r>
      <w:r w:rsidR="000E087B">
        <w:rPr>
          <w:rFonts w:ascii="Verdana" w:hAnsi="Verdana" w:cs="Arial"/>
          <w:sz w:val="24"/>
          <w:szCs w:val="24"/>
        </w:rPr>
        <w:t>Company had reduced the allowance account</w:t>
      </w:r>
      <w:r w:rsidR="00FD2CF4">
        <w:rPr>
          <w:rFonts w:ascii="Verdana" w:hAnsi="Verdana" w:cs="Arial"/>
          <w:sz w:val="24"/>
          <w:szCs w:val="24"/>
        </w:rPr>
        <w:t xml:space="preserve"> to a mere $1,545.</w:t>
      </w:r>
      <w:r w:rsidR="000E087B">
        <w:rPr>
          <w:rFonts w:ascii="Verdana" w:hAnsi="Verdana" w:cs="Arial"/>
          <w:sz w:val="24"/>
          <w:szCs w:val="24"/>
        </w:rPr>
        <w:t xml:space="preserve">  That’s a reduction of $14,119!  </w:t>
      </w:r>
    </w:p>
    <w:p w:rsidR="00FD2CF4" w:rsidRDefault="00FD2CF4" w:rsidP="00DA29E6">
      <w:pPr>
        <w:rPr>
          <w:rFonts w:ascii="Verdana" w:hAnsi="Verdana" w:cs="Arial"/>
          <w:sz w:val="24"/>
          <w:szCs w:val="24"/>
        </w:rPr>
      </w:pPr>
    </w:p>
    <w:p w:rsidR="000E087B" w:rsidRDefault="000E087B" w:rsidP="00DA29E6">
      <w:pPr>
        <w:rPr>
          <w:rFonts w:ascii="Verdana" w:hAnsi="Verdana" w:cs="Arial"/>
          <w:sz w:val="24"/>
          <w:szCs w:val="24"/>
        </w:rPr>
      </w:pPr>
      <w:r>
        <w:rPr>
          <w:rFonts w:ascii="Verdana" w:hAnsi="Verdana" w:cs="Arial"/>
          <w:sz w:val="24"/>
          <w:szCs w:val="24"/>
        </w:rPr>
        <w:t>We have a couple of problems with this valuation allowance driven</w:t>
      </w:r>
      <w:r w:rsidR="00FD2CF4">
        <w:rPr>
          <w:rFonts w:ascii="Verdana" w:hAnsi="Verdana" w:cs="Arial"/>
          <w:sz w:val="24"/>
          <w:szCs w:val="24"/>
        </w:rPr>
        <w:t xml:space="preserve"> </w:t>
      </w:r>
      <w:r>
        <w:rPr>
          <w:rFonts w:ascii="Verdana" w:hAnsi="Verdana" w:cs="Arial"/>
          <w:sz w:val="24"/>
          <w:szCs w:val="24"/>
        </w:rPr>
        <w:t>“earnings</w:t>
      </w:r>
      <w:r w:rsidR="00FD2CF4">
        <w:rPr>
          <w:rFonts w:ascii="Verdana" w:hAnsi="Verdana" w:cs="Arial"/>
          <w:sz w:val="24"/>
          <w:szCs w:val="24"/>
        </w:rPr>
        <w:t>”</w:t>
      </w:r>
      <w:r>
        <w:rPr>
          <w:rFonts w:ascii="Verdana" w:hAnsi="Verdana" w:cs="Arial"/>
          <w:sz w:val="24"/>
          <w:szCs w:val="24"/>
        </w:rPr>
        <w:t xml:space="preserve"> pop.</w:t>
      </w:r>
      <w:r w:rsidR="00B0534E">
        <w:rPr>
          <w:rFonts w:ascii="Verdana" w:hAnsi="Verdana" w:cs="Arial"/>
          <w:sz w:val="24"/>
          <w:szCs w:val="24"/>
        </w:rPr>
        <w:t xml:space="preserve">  T</w:t>
      </w:r>
      <w:r w:rsidR="008D3E2E">
        <w:rPr>
          <w:rFonts w:ascii="Verdana" w:hAnsi="Verdana" w:cs="Arial"/>
          <w:sz w:val="24"/>
          <w:szCs w:val="24"/>
        </w:rPr>
        <w:t xml:space="preserve">he FASB </w:t>
      </w:r>
      <w:r>
        <w:rPr>
          <w:rFonts w:ascii="Verdana" w:hAnsi="Verdana" w:cs="Arial"/>
          <w:sz w:val="24"/>
          <w:szCs w:val="24"/>
        </w:rPr>
        <w:t xml:space="preserve">requires the firm to record a </w:t>
      </w:r>
      <w:r w:rsidR="008D3E2E">
        <w:rPr>
          <w:rFonts w:ascii="Verdana" w:hAnsi="Verdana" w:cs="Arial"/>
          <w:sz w:val="24"/>
          <w:szCs w:val="24"/>
        </w:rPr>
        <w:t xml:space="preserve">valuation allowance </w:t>
      </w:r>
      <w:r>
        <w:rPr>
          <w:rFonts w:ascii="Verdana" w:hAnsi="Verdana" w:cs="Arial"/>
          <w:sz w:val="24"/>
          <w:szCs w:val="24"/>
        </w:rPr>
        <w:t xml:space="preserve">for deferred tax assets </w:t>
      </w:r>
      <w:r w:rsidR="008D3E2E">
        <w:rPr>
          <w:rFonts w:ascii="Verdana" w:hAnsi="Verdana" w:cs="Arial"/>
          <w:sz w:val="24"/>
          <w:szCs w:val="24"/>
        </w:rPr>
        <w:t xml:space="preserve">whenever it is </w:t>
      </w:r>
      <w:r>
        <w:rPr>
          <w:rFonts w:ascii="Verdana" w:hAnsi="Verdana" w:cs="Arial"/>
          <w:sz w:val="24"/>
          <w:szCs w:val="24"/>
        </w:rPr>
        <w:t>“</w:t>
      </w:r>
      <w:r w:rsidR="008D3E2E">
        <w:rPr>
          <w:rFonts w:ascii="Verdana" w:hAnsi="Verdana" w:cs="Arial"/>
          <w:sz w:val="24"/>
          <w:szCs w:val="24"/>
        </w:rPr>
        <w:t>more likely than not</w:t>
      </w:r>
      <w:r>
        <w:rPr>
          <w:rFonts w:ascii="Verdana" w:hAnsi="Verdana" w:cs="Arial"/>
          <w:sz w:val="24"/>
          <w:szCs w:val="24"/>
        </w:rPr>
        <w:t>”</w:t>
      </w:r>
      <w:r w:rsidR="008D3E2E">
        <w:rPr>
          <w:rFonts w:ascii="Verdana" w:hAnsi="Verdana" w:cs="Arial"/>
          <w:sz w:val="24"/>
          <w:szCs w:val="24"/>
        </w:rPr>
        <w:t xml:space="preserve"> </w:t>
      </w:r>
      <w:r>
        <w:rPr>
          <w:rFonts w:ascii="Verdana" w:hAnsi="Verdana" w:cs="Arial"/>
          <w:sz w:val="24"/>
          <w:szCs w:val="24"/>
        </w:rPr>
        <w:t xml:space="preserve">(more than 50 percent) </w:t>
      </w:r>
      <w:r w:rsidR="008D3E2E">
        <w:rPr>
          <w:rFonts w:ascii="Verdana" w:hAnsi="Verdana" w:cs="Arial"/>
          <w:sz w:val="24"/>
          <w:szCs w:val="24"/>
        </w:rPr>
        <w:t xml:space="preserve">that </w:t>
      </w:r>
      <w:r>
        <w:rPr>
          <w:rFonts w:ascii="Verdana" w:hAnsi="Verdana" w:cs="Arial"/>
          <w:sz w:val="24"/>
          <w:szCs w:val="24"/>
        </w:rPr>
        <w:t xml:space="preserve">specific tax assets will not be realized.  </w:t>
      </w:r>
      <w:r w:rsidR="00A51B07">
        <w:rPr>
          <w:rFonts w:ascii="Verdana" w:hAnsi="Verdana" w:cs="Arial"/>
          <w:sz w:val="24"/>
          <w:szCs w:val="24"/>
        </w:rPr>
        <w:t xml:space="preserve">According to Ford’s 2008 MD&amp;A, the Company gradually built up its deferred tax asset valuation allowance </w:t>
      </w:r>
      <w:r w:rsidR="00B0534E">
        <w:rPr>
          <w:rFonts w:ascii="Verdana" w:hAnsi="Verdana" w:cs="Arial"/>
          <w:sz w:val="24"/>
          <w:szCs w:val="24"/>
        </w:rPr>
        <w:t xml:space="preserve">to $17.8 billion through increases of </w:t>
      </w:r>
      <w:r w:rsidR="00A51B07">
        <w:rPr>
          <w:rFonts w:ascii="Verdana" w:hAnsi="Verdana" w:cs="Arial"/>
          <w:sz w:val="24"/>
          <w:szCs w:val="24"/>
        </w:rPr>
        <w:t xml:space="preserve">$2.7 billion </w:t>
      </w:r>
      <w:r w:rsidR="00B0534E">
        <w:rPr>
          <w:rFonts w:ascii="Verdana" w:hAnsi="Verdana" w:cs="Arial"/>
          <w:sz w:val="24"/>
          <w:szCs w:val="24"/>
        </w:rPr>
        <w:t xml:space="preserve">in 2006 </w:t>
      </w:r>
      <w:r w:rsidR="00A51B07">
        <w:rPr>
          <w:rFonts w:ascii="Verdana" w:hAnsi="Verdana" w:cs="Arial"/>
          <w:sz w:val="24"/>
          <w:szCs w:val="24"/>
        </w:rPr>
        <w:t>(SFAS No. 158 adoption</w:t>
      </w:r>
      <w:r w:rsidR="00B0534E">
        <w:rPr>
          <w:rFonts w:ascii="Verdana" w:hAnsi="Verdana" w:cs="Arial"/>
          <w:sz w:val="24"/>
          <w:szCs w:val="24"/>
        </w:rPr>
        <w:t>), $1.4 billion in 2007 (FIN 48 adoption), and $9.3 billion in 2008 (U.S. taxable losses).  In that same report (page 53), the Company acknowledges that:</w:t>
      </w:r>
    </w:p>
    <w:p w:rsidR="00B0534E" w:rsidRDefault="00B0534E" w:rsidP="00DA29E6">
      <w:pPr>
        <w:rPr>
          <w:rFonts w:ascii="Verdana" w:hAnsi="Verdana" w:cs="Arial"/>
          <w:sz w:val="24"/>
          <w:szCs w:val="24"/>
        </w:rPr>
      </w:pPr>
    </w:p>
    <w:p w:rsidR="00B0534E" w:rsidRPr="00B0534E" w:rsidRDefault="00B0534E" w:rsidP="00B0534E">
      <w:pPr>
        <w:ind w:left="720" w:right="720"/>
        <w:rPr>
          <w:rFonts w:ascii="Verdana" w:hAnsi="Verdana" w:cs="Arial"/>
          <w:b/>
          <w:i/>
          <w:sz w:val="24"/>
          <w:szCs w:val="24"/>
        </w:rPr>
      </w:pPr>
      <w:r w:rsidRPr="00B0534E">
        <w:rPr>
          <w:rFonts w:ascii="Verdana" w:hAnsi="Verdana" w:cs="Arial"/>
          <w:i/>
          <w:sz w:val="24"/>
          <w:szCs w:val="24"/>
        </w:rPr>
        <w:lastRenderedPageBreak/>
        <w:t xml:space="preserve">“A return to profitability in our North America operations would result in a reversal of a </w:t>
      </w:r>
      <w:r w:rsidRPr="00B0534E">
        <w:rPr>
          <w:rFonts w:ascii="Verdana" w:hAnsi="Verdana" w:cs="Arial"/>
          <w:b/>
          <w:i/>
          <w:sz w:val="24"/>
          <w:szCs w:val="24"/>
        </w:rPr>
        <w:t>portion of the valuation allowance</w:t>
      </w:r>
      <w:r w:rsidRPr="00B0534E">
        <w:rPr>
          <w:rFonts w:ascii="Verdana" w:hAnsi="Verdana" w:cs="Arial"/>
          <w:i/>
          <w:sz w:val="24"/>
          <w:szCs w:val="24"/>
        </w:rPr>
        <w:t xml:space="preserve"> relating to realized deferred tax assets, but we many not change our judgment of the need for a full valuation allowance on our remaining deferred tax assets.  A </w:t>
      </w:r>
      <w:r w:rsidRPr="00B0534E">
        <w:rPr>
          <w:rFonts w:ascii="Verdana" w:hAnsi="Verdana" w:cs="Arial"/>
          <w:b/>
          <w:i/>
          <w:sz w:val="24"/>
          <w:szCs w:val="24"/>
        </w:rPr>
        <w:t>sustained period</w:t>
      </w:r>
      <w:r w:rsidRPr="00B0534E">
        <w:rPr>
          <w:rFonts w:ascii="Verdana" w:hAnsi="Verdana" w:cs="Arial"/>
          <w:i/>
          <w:sz w:val="24"/>
          <w:szCs w:val="24"/>
        </w:rPr>
        <w:t xml:space="preserve"> of North America profitability could cause a change in our judgment of the remaining deferred tax assets.  In that case, it is likely that we would reverse </w:t>
      </w:r>
      <w:r w:rsidRPr="00B0534E">
        <w:rPr>
          <w:rFonts w:ascii="Verdana" w:hAnsi="Verdana" w:cs="Arial"/>
          <w:b/>
          <w:i/>
          <w:sz w:val="24"/>
          <w:szCs w:val="24"/>
        </w:rPr>
        <w:t>some or all</w:t>
      </w:r>
      <w:r w:rsidRPr="00B0534E">
        <w:rPr>
          <w:rFonts w:ascii="Verdana" w:hAnsi="Verdana" w:cs="Arial"/>
          <w:i/>
          <w:sz w:val="24"/>
          <w:szCs w:val="24"/>
        </w:rPr>
        <w:t xml:space="preserve"> of the remaining deferred tax asset valuation allowance.”</w:t>
      </w:r>
      <w:r>
        <w:rPr>
          <w:rFonts w:ascii="Verdana" w:hAnsi="Verdana" w:cs="Arial"/>
          <w:i/>
          <w:sz w:val="24"/>
          <w:szCs w:val="24"/>
        </w:rPr>
        <w:t xml:space="preserve"> </w:t>
      </w:r>
      <w:r w:rsidRPr="00B0534E">
        <w:rPr>
          <w:rFonts w:ascii="Verdana" w:hAnsi="Verdana" w:cs="Arial"/>
          <w:b/>
          <w:i/>
          <w:sz w:val="24"/>
          <w:szCs w:val="24"/>
        </w:rPr>
        <w:t>(emphasis added)</w:t>
      </w:r>
    </w:p>
    <w:p w:rsidR="000E087B" w:rsidRDefault="000E087B" w:rsidP="00DA29E6">
      <w:pPr>
        <w:rPr>
          <w:rFonts w:ascii="Verdana" w:hAnsi="Verdana" w:cs="Arial"/>
          <w:sz w:val="24"/>
          <w:szCs w:val="24"/>
        </w:rPr>
      </w:pPr>
    </w:p>
    <w:p w:rsidR="003571B0" w:rsidRDefault="003571B0" w:rsidP="00DA29E6">
      <w:pPr>
        <w:rPr>
          <w:rFonts w:ascii="Verdana" w:hAnsi="Verdana" w:cs="Arial"/>
          <w:sz w:val="24"/>
          <w:szCs w:val="24"/>
        </w:rPr>
      </w:pPr>
      <w:r>
        <w:rPr>
          <w:rFonts w:ascii="Verdana" w:hAnsi="Verdana" w:cs="Arial"/>
          <w:sz w:val="24"/>
          <w:szCs w:val="24"/>
        </w:rPr>
        <w:t>So what does GAAP say about reversing this allowance?  According to ASC 740, there are a number of positive factors that might suggest that an allowance is not necessary.  Principal among these is that there is evidence of sufficient future taxable income, exclusive of reversing temporary differences and carry-forwards.  Ford’s 2011 income tax footnote (note 22) outlines the Company’s reversal decision:</w:t>
      </w:r>
    </w:p>
    <w:p w:rsidR="003571B0" w:rsidRDefault="003571B0" w:rsidP="00DA29E6">
      <w:pPr>
        <w:rPr>
          <w:rFonts w:ascii="Verdana" w:hAnsi="Verdana" w:cs="Arial"/>
          <w:sz w:val="24"/>
          <w:szCs w:val="24"/>
        </w:rPr>
      </w:pPr>
    </w:p>
    <w:p w:rsidR="003571B0" w:rsidRPr="003571B0" w:rsidRDefault="003571B0" w:rsidP="003571B0">
      <w:pPr>
        <w:ind w:left="720" w:right="720"/>
        <w:rPr>
          <w:rFonts w:ascii="Verdana" w:hAnsi="Verdana" w:cs="Arial"/>
          <w:b/>
          <w:i/>
          <w:sz w:val="24"/>
          <w:szCs w:val="24"/>
        </w:rPr>
      </w:pPr>
      <w:r>
        <w:rPr>
          <w:rFonts w:ascii="Verdana" w:hAnsi="Verdana" w:cs="Arial"/>
          <w:i/>
          <w:sz w:val="24"/>
          <w:szCs w:val="24"/>
        </w:rPr>
        <w:t>“</w:t>
      </w:r>
      <w:r w:rsidRPr="003571B0">
        <w:rPr>
          <w:rFonts w:ascii="Verdana" w:hAnsi="Verdana" w:cs="Arial"/>
          <w:i/>
          <w:sz w:val="24"/>
          <w:szCs w:val="24"/>
        </w:rPr>
        <w:t xml:space="preserve">At the end of 2011, our U.S. operations had returned to a </w:t>
      </w:r>
      <w:r>
        <w:rPr>
          <w:rFonts w:ascii="Verdana" w:hAnsi="Verdana" w:cs="Arial"/>
          <w:i/>
          <w:sz w:val="24"/>
          <w:szCs w:val="24"/>
        </w:rPr>
        <w:t>p</w:t>
      </w:r>
      <w:r w:rsidRPr="003571B0">
        <w:rPr>
          <w:rFonts w:ascii="Verdana" w:hAnsi="Verdana" w:cs="Arial"/>
          <w:i/>
          <w:sz w:val="24"/>
          <w:szCs w:val="24"/>
        </w:rPr>
        <w:t>osition of cumulative pr</w:t>
      </w:r>
      <w:r>
        <w:rPr>
          <w:rFonts w:ascii="Verdana" w:hAnsi="Verdana" w:cs="Arial"/>
          <w:i/>
          <w:sz w:val="24"/>
          <w:szCs w:val="24"/>
        </w:rPr>
        <w:t xml:space="preserve">ofits for the most recent </w:t>
      </w:r>
      <w:r w:rsidRPr="003571B0">
        <w:rPr>
          <w:rFonts w:ascii="Verdana" w:hAnsi="Verdana" w:cs="Arial"/>
          <w:b/>
          <w:i/>
          <w:sz w:val="24"/>
          <w:szCs w:val="24"/>
        </w:rPr>
        <w:t>three-year</w:t>
      </w:r>
    </w:p>
    <w:p w:rsidR="003571B0" w:rsidRPr="003571B0" w:rsidRDefault="003571B0" w:rsidP="003571B0">
      <w:pPr>
        <w:ind w:left="720" w:right="720"/>
        <w:rPr>
          <w:rFonts w:ascii="Verdana" w:hAnsi="Verdana" w:cs="Arial"/>
          <w:i/>
          <w:sz w:val="24"/>
          <w:szCs w:val="24"/>
        </w:rPr>
      </w:pPr>
      <w:r w:rsidRPr="003571B0">
        <w:rPr>
          <w:rFonts w:ascii="Verdana" w:hAnsi="Verdana" w:cs="Arial"/>
          <w:b/>
          <w:i/>
          <w:sz w:val="24"/>
          <w:szCs w:val="24"/>
        </w:rPr>
        <w:t>period</w:t>
      </w:r>
      <w:r w:rsidRPr="003571B0">
        <w:rPr>
          <w:rFonts w:ascii="Verdana" w:hAnsi="Verdana" w:cs="Arial"/>
          <w:i/>
          <w:sz w:val="24"/>
          <w:szCs w:val="24"/>
        </w:rPr>
        <w:t>. We concluded that this record of cumulative profitability in recent years, our ten consecutive quarters of pre-tax</w:t>
      </w:r>
      <w:r>
        <w:rPr>
          <w:rFonts w:ascii="Verdana" w:hAnsi="Verdana" w:cs="Arial"/>
          <w:i/>
          <w:sz w:val="24"/>
          <w:szCs w:val="24"/>
        </w:rPr>
        <w:t xml:space="preserve"> </w:t>
      </w:r>
      <w:r w:rsidRPr="003571B0">
        <w:rPr>
          <w:rFonts w:ascii="Verdana" w:hAnsi="Verdana" w:cs="Arial"/>
          <w:i/>
          <w:sz w:val="24"/>
          <w:szCs w:val="24"/>
        </w:rPr>
        <w:t>operating profits, our successful completion of labor negotiations with the UAW, and our business plan showing continued</w:t>
      </w:r>
      <w:r>
        <w:rPr>
          <w:rFonts w:ascii="Verdana" w:hAnsi="Verdana" w:cs="Arial"/>
          <w:i/>
          <w:sz w:val="24"/>
          <w:szCs w:val="24"/>
        </w:rPr>
        <w:t xml:space="preserve"> </w:t>
      </w:r>
      <w:r w:rsidRPr="003571B0">
        <w:rPr>
          <w:rFonts w:ascii="Verdana" w:hAnsi="Verdana" w:cs="Arial"/>
          <w:i/>
          <w:sz w:val="24"/>
          <w:szCs w:val="24"/>
        </w:rPr>
        <w:t>profitability, provide assurance that our future tax benefits more likely than not will be realized.</w:t>
      </w:r>
      <w:r>
        <w:rPr>
          <w:rFonts w:ascii="Verdana" w:hAnsi="Verdana" w:cs="Arial"/>
          <w:i/>
          <w:sz w:val="24"/>
          <w:szCs w:val="24"/>
        </w:rPr>
        <w:t>”</w:t>
      </w:r>
      <w:r w:rsidRPr="003571B0">
        <w:rPr>
          <w:rFonts w:ascii="Verdana" w:hAnsi="Verdana" w:cs="Arial"/>
          <w:b/>
          <w:i/>
          <w:sz w:val="24"/>
          <w:szCs w:val="24"/>
        </w:rPr>
        <w:t xml:space="preserve"> </w:t>
      </w:r>
      <w:r w:rsidRPr="00B0534E">
        <w:rPr>
          <w:rFonts w:ascii="Verdana" w:hAnsi="Verdana" w:cs="Arial"/>
          <w:b/>
          <w:i/>
          <w:sz w:val="24"/>
          <w:szCs w:val="24"/>
        </w:rPr>
        <w:t>(emphasis added)</w:t>
      </w:r>
    </w:p>
    <w:p w:rsidR="003571B0" w:rsidRDefault="003571B0" w:rsidP="00DA29E6">
      <w:pPr>
        <w:rPr>
          <w:rFonts w:ascii="Verdana" w:hAnsi="Verdana" w:cs="Arial"/>
          <w:sz w:val="24"/>
          <w:szCs w:val="24"/>
        </w:rPr>
      </w:pPr>
    </w:p>
    <w:p w:rsidR="003571B0" w:rsidRDefault="003571B0" w:rsidP="00DA29E6">
      <w:pPr>
        <w:rPr>
          <w:rFonts w:ascii="Verdana" w:hAnsi="Verdana" w:cs="Arial"/>
          <w:sz w:val="24"/>
          <w:szCs w:val="24"/>
        </w:rPr>
      </w:pPr>
      <w:r>
        <w:rPr>
          <w:rFonts w:ascii="Verdana" w:hAnsi="Verdana" w:cs="Arial"/>
          <w:sz w:val="24"/>
          <w:szCs w:val="24"/>
        </w:rPr>
        <w:t>Note the “three-year period” language in the note discussion.  This is no accident.  This is the arbitrary standard created by the Big Four accounting firms</w:t>
      </w:r>
      <w:r w:rsidR="00A94CD3">
        <w:rPr>
          <w:rFonts w:ascii="Verdana" w:hAnsi="Verdana" w:cs="Arial"/>
          <w:sz w:val="24"/>
          <w:szCs w:val="24"/>
        </w:rPr>
        <w:t xml:space="preserve"> (not the standard-setters) </w:t>
      </w:r>
      <w:r>
        <w:rPr>
          <w:rFonts w:ascii="Verdana" w:hAnsi="Verdana" w:cs="Arial"/>
          <w:sz w:val="24"/>
          <w:szCs w:val="24"/>
        </w:rPr>
        <w:t>to justify either additions or deletions to the tax asset valuation allowance.</w:t>
      </w:r>
      <w:r w:rsidR="00A94CD3">
        <w:rPr>
          <w:rFonts w:ascii="Verdana" w:hAnsi="Verdana" w:cs="Arial"/>
          <w:sz w:val="24"/>
          <w:szCs w:val="24"/>
        </w:rPr>
        <w:t xml:space="preserve">  And not surprisingly, the accountants once again are focused on arbitrary benchmarks, </w:t>
      </w:r>
      <w:r w:rsidR="00891757">
        <w:rPr>
          <w:rFonts w:ascii="Verdana" w:hAnsi="Verdana" w:cs="Arial"/>
          <w:sz w:val="24"/>
          <w:szCs w:val="24"/>
        </w:rPr>
        <w:t xml:space="preserve">and </w:t>
      </w:r>
      <w:r w:rsidR="00A94CD3">
        <w:rPr>
          <w:rFonts w:ascii="Verdana" w:hAnsi="Verdana" w:cs="Arial"/>
          <w:sz w:val="24"/>
          <w:szCs w:val="24"/>
        </w:rPr>
        <w:t>not reality.</w:t>
      </w:r>
    </w:p>
    <w:p w:rsidR="003571B0" w:rsidRDefault="003571B0" w:rsidP="00DA29E6">
      <w:pPr>
        <w:rPr>
          <w:rFonts w:ascii="Verdana" w:hAnsi="Verdana" w:cs="Arial"/>
          <w:sz w:val="24"/>
          <w:szCs w:val="24"/>
        </w:rPr>
      </w:pPr>
    </w:p>
    <w:p w:rsidR="00A94CD3" w:rsidRDefault="00A94CD3" w:rsidP="00DA29E6">
      <w:pPr>
        <w:rPr>
          <w:rFonts w:ascii="Verdana" w:hAnsi="Verdana" w:cs="Arial"/>
          <w:sz w:val="24"/>
          <w:szCs w:val="24"/>
        </w:rPr>
      </w:pPr>
      <w:r>
        <w:rPr>
          <w:rFonts w:ascii="Verdana" w:hAnsi="Verdana" w:cs="Arial"/>
          <w:sz w:val="24"/>
          <w:szCs w:val="24"/>
        </w:rPr>
        <w:t xml:space="preserve">We simply are not convinced that the Company has demonstrated an ability to generate sufficient taxable income to realize reported tax assets.  Based on their 2011 total net deferred tax assets of $14,429, and assuming an effective tax rate of 35 percent, Ford needs over $41 billion in future taxable income to realize these assets.  Given the </w:t>
      </w:r>
      <w:r w:rsidR="00891757">
        <w:rPr>
          <w:rFonts w:ascii="Verdana" w:hAnsi="Verdana" w:cs="Arial"/>
          <w:sz w:val="24"/>
          <w:szCs w:val="24"/>
        </w:rPr>
        <w:t xml:space="preserve">Ford’s history, not to mention that </w:t>
      </w:r>
      <w:r>
        <w:rPr>
          <w:rFonts w:ascii="Verdana" w:hAnsi="Verdana" w:cs="Arial"/>
          <w:sz w:val="24"/>
          <w:szCs w:val="24"/>
        </w:rPr>
        <w:t xml:space="preserve">of the auto industry, who really thinks this likely right now?  </w:t>
      </w:r>
    </w:p>
    <w:p w:rsidR="00A94CD3" w:rsidRDefault="00A94CD3" w:rsidP="00DA29E6">
      <w:pPr>
        <w:rPr>
          <w:rFonts w:ascii="Verdana" w:hAnsi="Verdana" w:cs="Arial"/>
          <w:sz w:val="24"/>
          <w:szCs w:val="24"/>
        </w:rPr>
      </w:pPr>
    </w:p>
    <w:p w:rsidR="00FD2CF4" w:rsidRDefault="00A94CD3" w:rsidP="00DA29E6">
      <w:pPr>
        <w:rPr>
          <w:rFonts w:ascii="Verdana" w:hAnsi="Verdana" w:cs="Arial"/>
          <w:sz w:val="24"/>
          <w:szCs w:val="24"/>
        </w:rPr>
      </w:pPr>
      <w:r>
        <w:rPr>
          <w:rFonts w:ascii="Verdana" w:hAnsi="Verdana" w:cs="Arial"/>
          <w:sz w:val="24"/>
          <w:szCs w:val="24"/>
        </w:rPr>
        <w:t>And then there are the economic and political risks that accou</w:t>
      </w:r>
      <w:r w:rsidR="00891757">
        <w:rPr>
          <w:rFonts w:ascii="Verdana" w:hAnsi="Verdana" w:cs="Arial"/>
          <w:sz w:val="24"/>
          <w:szCs w:val="24"/>
        </w:rPr>
        <w:t>ntants ignore because they can’</w:t>
      </w:r>
      <w:r>
        <w:rPr>
          <w:rFonts w:ascii="Verdana" w:hAnsi="Verdana" w:cs="Arial"/>
          <w:sz w:val="24"/>
          <w:szCs w:val="24"/>
        </w:rPr>
        <w:t>t be quantified.  W</w:t>
      </w:r>
      <w:r w:rsidR="008D3E2E">
        <w:rPr>
          <w:rFonts w:ascii="Verdana" w:hAnsi="Verdana" w:cs="Arial"/>
          <w:sz w:val="24"/>
          <w:szCs w:val="24"/>
        </w:rPr>
        <w:t>e do not s</w:t>
      </w:r>
      <w:r w:rsidR="00217ACB">
        <w:rPr>
          <w:rFonts w:ascii="Verdana" w:hAnsi="Verdana" w:cs="Arial"/>
          <w:sz w:val="24"/>
          <w:szCs w:val="24"/>
        </w:rPr>
        <w:t>hare</w:t>
      </w:r>
      <w:r w:rsidR="008D3E2E">
        <w:rPr>
          <w:rFonts w:ascii="Verdana" w:hAnsi="Verdana" w:cs="Arial"/>
          <w:sz w:val="24"/>
          <w:szCs w:val="24"/>
        </w:rPr>
        <w:t xml:space="preserve"> Ford’s optimism that the economy is recovering.  What recovery exists </w:t>
      </w:r>
      <w:r w:rsidR="009E5848">
        <w:rPr>
          <w:rFonts w:ascii="Verdana" w:hAnsi="Verdana" w:cs="Arial"/>
          <w:sz w:val="24"/>
          <w:szCs w:val="24"/>
        </w:rPr>
        <w:t xml:space="preserve">in the U.S. </w:t>
      </w:r>
      <w:r w:rsidR="008D3E2E">
        <w:rPr>
          <w:rFonts w:ascii="Verdana" w:hAnsi="Verdana" w:cs="Arial"/>
          <w:sz w:val="24"/>
          <w:szCs w:val="24"/>
        </w:rPr>
        <w:t xml:space="preserve">likely will be temporary as it is supported by massive market manipulations by the Fed, </w:t>
      </w:r>
      <w:r w:rsidR="008D3E2E">
        <w:rPr>
          <w:rFonts w:ascii="Verdana" w:hAnsi="Verdana" w:cs="Arial"/>
          <w:sz w:val="24"/>
          <w:szCs w:val="24"/>
        </w:rPr>
        <w:lastRenderedPageBreak/>
        <w:t>which are just as likely to backfire, given the preponderance of unsustainable debt and the risks for inflation.</w:t>
      </w:r>
    </w:p>
    <w:p w:rsidR="00FD2CF4" w:rsidRDefault="00FD2CF4" w:rsidP="00DA29E6">
      <w:pPr>
        <w:rPr>
          <w:rFonts w:ascii="Verdana" w:hAnsi="Verdana" w:cs="Arial"/>
          <w:sz w:val="24"/>
          <w:szCs w:val="24"/>
        </w:rPr>
      </w:pPr>
    </w:p>
    <w:p w:rsidR="009E5848" w:rsidRDefault="009E5848" w:rsidP="00DA29E6">
      <w:pPr>
        <w:rPr>
          <w:rFonts w:ascii="Verdana" w:hAnsi="Verdana" w:cs="Arial"/>
          <w:sz w:val="24"/>
          <w:szCs w:val="24"/>
        </w:rPr>
      </w:pPr>
      <w:r>
        <w:rPr>
          <w:rFonts w:ascii="Verdana" w:hAnsi="Verdana" w:cs="Arial"/>
          <w:sz w:val="24"/>
          <w:szCs w:val="24"/>
        </w:rPr>
        <w:t xml:space="preserve">Further, the </w:t>
      </w:r>
      <w:r w:rsidR="00045F9C">
        <w:rPr>
          <w:rFonts w:ascii="Verdana" w:hAnsi="Verdana" w:cs="Arial"/>
          <w:sz w:val="24"/>
          <w:szCs w:val="24"/>
        </w:rPr>
        <w:t xml:space="preserve">European </w:t>
      </w:r>
      <w:r>
        <w:rPr>
          <w:rFonts w:ascii="Verdana" w:hAnsi="Verdana" w:cs="Arial"/>
          <w:sz w:val="24"/>
          <w:szCs w:val="24"/>
        </w:rPr>
        <w:t>sovereign debt crisis is far from over.  Yes, an accord has been reached among the various European countries, but even now there is discussion that</w:t>
      </w:r>
      <w:r w:rsidR="00346D8B">
        <w:rPr>
          <w:rFonts w:ascii="Verdana" w:hAnsi="Verdana" w:cs="Arial"/>
          <w:sz w:val="24"/>
          <w:szCs w:val="24"/>
        </w:rPr>
        <w:t>,</w:t>
      </w:r>
      <w:r>
        <w:rPr>
          <w:rFonts w:ascii="Verdana" w:hAnsi="Verdana" w:cs="Arial"/>
          <w:sz w:val="24"/>
          <w:szCs w:val="24"/>
        </w:rPr>
        <w:t xml:space="preserve"> behind the scenes</w:t>
      </w:r>
      <w:r w:rsidR="00346D8B">
        <w:rPr>
          <w:rFonts w:ascii="Verdana" w:hAnsi="Verdana" w:cs="Arial"/>
          <w:sz w:val="24"/>
          <w:szCs w:val="24"/>
        </w:rPr>
        <w:t>,</w:t>
      </w:r>
      <w:r>
        <w:rPr>
          <w:rFonts w:ascii="Verdana" w:hAnsi="Verdana" w:cs="Arial"/>
          <w:sz w:val="24"/>
          <w:szCs w:val="24"/>
        </w:rPr>
        <w:t xml:space="preserve"> Greece is reneging the deal and, </w:t>
      </w:r>
      <w:r w:rsidR="007325F6">
        <w:rPr>
          <w:rFonts w:ascii="Verdana" w:hAnsi="Verdana" w:cs="Arial"/>
          <w:sz w:val="24"/>
          <w:szCs w:val="24"/>
        </w:rPr>
        <w:t>worse</w:t>
      </w:r>
      <w:r>
        <w:rPr>
          <w:rFonts w:ascii="Verdana" w:hAnsi="Verdana" w:cs="Arial"/>
          <w:sz w:val="24"/>
          <w:szCs w:val="24"/>
        </w:rPr>
        <w:t>, that it will default</w:t>
      </w:r>
      <w:r w:rsidR="007325F6">
        <w:rPr>
          <w:rFonts w:ascii="Verdana" w:hAnsi="Verdana" w:cs="Arial"/>
          <w:sz w:val="24"/>
          <w:szCs w:val="24"/>
        </w:rPr>
        <w:t xml:space="preserve"> even with the debt relief</w:t>
      </w:r>
      <w:r>
        <w:rPr>
          <w:rFonts w:ascii="Verdana" w:hAnsi="Verdana" w:cs="Arial"/>
          <w:sz w:val="24"/>
          <w:szCs w:val="24"/>
        </w:rPr>
        <w:t>.  In addition, Spain and Italy are suffering their own financial crises.  Any of these can lead to major troubles in the Euro zone, which in turn will lead to difficulties for Ford.</w:t>
      </w:r>
    </w:p>
    <w:p w:rsidR="005D7251" w:rsidRDefault="005D7251" w:rsidP="00DA29E6">
      <w:pPr>
        <w:rPr>
          <w:rFonts w:ascii="Verdana" w:hAnsi="Verdana" w:cs="Arial"/>
          <w:sz w:val="24"/>
          <w:szCs w:val="24"/>
        </w:rPr>
      </w:pPr>
    </w:p>
    <w:p w:rsidR="00346D8B" w:rsidRDefault="009E5848" w:rsidP="00DA29E6">
      <w:pPr>
        <w:rPr>
          <w:rFonts w:ascii="Verdana" w:hAnsi="Verdana" w:cs="Arial"/>
          <w:sz w:val="24"/>
          <w:szCs w:val="24"/>
        </w:rPr>
      </w:pPr>
      <w:r>
        <w:rPr>
          <w:rFonts w:ascii="Verdana" w:hAnsi="Verdana" w:cs="Arial"/>
          <w:sz w:val="24"/>
          <w:szCs w:val="24"/>
        </w:rPr>
        <w:t>Our second concern pivots on cash flows</w:t>
      </w:r>
      <w:r w:rsidR="004B6657">
        <w:rPr>
          <w:rFonts w:ascii="Verdana" w:hAnsi="Verdana" w:cs="Arial"/>
          <w:sz w:val="24"/>
          <w:szCs w:val="24"/>
        </w:rPr>
        <w:t>, which</w:t>
      </w:r>
      <w:r w:rsidR="00346D8B">
        <w:rPr>
          <w:rFonts w:ascii="Verdana" w:hAnsi="Verdana" w:cs="Arial"/>
          <w:sz w:val="24"/>
          <w:szCs w:val="24"/>
        </w:rPr>
        <w:t xml:space="preserve"> don’t support</w:t>
      </w:r>
      <w:r>
        <w:rPr>
          <w:rFonts w:ascii="Verdana" w:hAnsi="Verdana" w:cs="Arial"/>
          <w:sz w:val="24"/>
          <w:szCs w:val="24"/>
        </w:rPr>
        <w:t xml:space="preserve"> Ford’s net income, </w:t>
      </w:r>
      <w:r w:rsidR="004B6657">
        <w:rPr>
          <w:rFonts w:ascii="Verdana" w:hAnsi="Verdana" w:cs="Arial"/>
          <w:sz w:val="24"/>
          <w:szCs w:val="24"/>
        </w:rPr>
        <w:t xml:space="preserve">thereby </w:t>
      </w:r>
      <w:r w:rsidR="00346D8B">
        <w:rPr>
          <w:rFonts w:ascii="Verdana" w:hAnsi="Verdana" w:cs="Arial"/>
          <w:sz w:val="24"/>
          <w:szCs w:val="24"/>
        </w:rPr>
        <w:t>confirming</w:t>
      </w:r>
      <w:r w:rsidR="00891757">
        <w:rPr>
          <w:rFonts w:ascii="Verdana" w:hAnsi="Verdana" w:cs="Arial"/>
          <w:sz w:val="24"/>
          <w:szCs w:val="24"/>
        </w:rPr>
        <w:t xml:space="preserve"> the</w:t>
      </w:r>
      <w:r>
        <w:rPr>
          <w:rFonts w:ascii="Verdana" w:hAnsi="Verdana" w:cs="Arial"/>
          <w:sz w:val="24"/>
          <w:szCs w:val="24"/>
        </w:rPr>
        <w:t xml:space="preserve"> </w:t>
      </w:r>
      <w:r w:rsidR="00891757">
        <w:rPr>
          <w:rFonts w:ascii="Verdana" w:hAnsi="Verdana" w:cs="Arial"/>
          <w:sz w:val="24"/>
          <w:szCs w:val="24"/>
        </w:rPr>
        <w:t>pathetically low quality of earnings</w:t>
      </w:r>
      <w:r>
        <w:rPr>
          <w:rFonts w:ascii="Verdana" w:hAnsi="Verdana" w:cs="Arial"/>
          <w:sz w:val="24"/>
          <w:szCs w:val="24"/>
        </w:rPr>
        <w:t xml:space="preserve">.  </w:t>
      </w:r>
      <w:r w:rsidR="00346D8B">
        <w:rPr>
          <w:rFonts w:ascii="Verdana" w:hAnsi="Verdana" w:cs="Arial"/>
          <w:sz w:val="24"/>
          <w:szCs w:val="24"/>
        </w:rPr>
        <w:t>Call us old fashioned, but Financial Analysis 101 raises red flags when net income is rising and operating cash flows are declining, precisely what Ford is reporting for the past three years!</w:t>
      </w:r>
    </w:p>
    <w:p w:rsidR="00346D8B" w:rsidRDefault="00346D8B" w:rsidP="00DA29E6">
      <w:pPr>
        <w:rPr>
          <w:rFonts w:ascii="Verdana" w:hAnsi="Verdana" w:cs="Arial"/>
          <w:sz w:val="24"/>
          <w:szCs w:val="24"/>
        </w:rPr>
      </w:pPr>
    </w:p>
    <w:p w:rsidR="004B6657" w:rsidRDefault="00891757" w:rsidP="00DA29E6">
      <w:pPr>
        <w:rPr>
          <w:rFonts w:ascii="Verdana" w:hAnsi="Verdana" w:cs="Arial"/>
          <w:sz w:val="24"/>
          <w:szCs w:val="24"/>
        </w:rPr>
      </w:pPr>
      <w:r>
        <w:rPr>
          <w:rFonts w:ascii="Verdana" w:hAnsi="Verdana" w:cs="Arial"/>
          <w:sz w:val="24"/>
          <w:szCs w:val="24"/>
        </w:rPr>
        <w:t xml:space="preserve">We also </w:t>
      </w:r>
      <w:r w:rsidR="004B6657">
        <w:rPr>
          <w:rFonts w:ascii="Verdana" w:hAnsi="Verdana" w:cs="Arial"/>
          <w:sz w:val="24"/>
          <w:szCs w:val="24"/>
        </w:rPr>
        <w:t>can assess this by comp</w:t>
      </w:r>
      <w:r w:rsidR="00324A16">
        <w:rPr>
          <w:rFonts w:ascii="Verdana" w:hAnsi="Verdana" w:cs="Arial"/>
          <w:sz w:val="24"/>
          <w:szCs w:val="24"/>
        </w:rPr>
        <w:t xml:space="preserve">aring free cash flow with </w:t>
      </w:r>
      <w:r w:rsidR="004B6657">
        <w:rPr>
          <w:rFonts w:ascii="Verdana" w:hAnsi="Verdana" w:cs="Arial"/>
          <w:sz w:val="24"/>
          <w:szCs w:val="24"/>
        </w:rPr>
        <w:t>net income.  If the earnings have good quality, this ratio should be one or higher.  If the ratio is below one, then the earnings have low quality.  In Ford’s case, we obtain the following:</w:t>
      </w:r>
    </w:p>
    <w:p w:rsidR="005E40D4" w:rsidRDefault="005E40D4" w:rsidP="00DA29E6">
      <w:pPr>
        <w:rPr>
          <w:rFonts w:ascii="Verdana" w:hAnsi="Verdana" w:cs="Arial"/>
          <w:sz w:val="24"/>
          <w:szCs w:val="24"/>
        </w:rPr>
      </w:pPr>
    </w:p>
    <w:tbl>
      <w:tblPr>
        <w:tblStyle w:val="TableGrid"/>
        <w:tblW w:w="0" w:type="auto"/>
        <w:tblLook w:val="04A0"/>
      </w:tblPr>
      <w:tblGrid>
        <w:gridCol w:w="4698"/>
        <w:gridCol w:w="1350"/>
        <w:gridCol w:w="1890"/>
        <w:gridCol w:w="1638"/>
      </w:tblGrid>
      <w:tr w:rsidR="00F759EE" w:rsidTr="00ED52CA">
        <w:tc>
          <w:tcPr>
            <w:tcW w:w="4698" w:type="dxa"/>
          </w:tcPr>
          <w:p w:rsidR="00F759EE" w:rsidRDefault="00F759EE" w:rsidP="00DA29E6">
            <w:pPr>
              <w:rPr>
                <w:rFonts w:ascii="Verdana" w:hAnsi="Verdana" w:cs="Arial"/>
                <w:sz w:val="24"/>
                <w:szCs w:val="24"/>
              </w:rPr>
            </w:pPr>
          </w:p>
        </w:tc>
        <w:tc>
          <w:tcPr>
            <w:tcW w:w="1350" w:type="dxa"/>
          </w:tcPr>
          <w:p w:rsidR="00F759EE" w:rsidRPr="00324A16" w:rsidRDefault="00F759EE" w:rsidP="00F759EE">
            <w:pPr>
              <w:jc w:val="center"/>
              <w:rPr>
                <w:rFonts w:ascii="Verdana" w:hAnsi="Verdana" w:cs="Arial"/>
                <w:b/>
                <w:sz w:val="24"/>
                <w:szCs w:val="24"/>
              </w:rPr>
            </w:pPr>
            <w:r w:rsidRPr="00324A16">
              <w:rPr>
                <w:rFonts w:ascii="Verdana" w:hAnsi="Verdana" w:cs="Arial"/>
                <w:b/>
                <w:sz w:val="24"/>
                <w:szCs w:val="24"/>
              </w:rPr>
              <w:t>2011</w:t>
            </w:r>
          </w:p>
        </w:tc>
        <w:tc>
          <w:tcPr>
            <w:tcW w:w="1890" w:type="dxa"/>
          </w:tcPr>
          <w:p w:rsidR="00F759EE" w:rsidRPr="00324A16" w:rsidRDefault="00F759EE" w:rsidP="00F759EE">
            <w:pPr>
              <w:jc w:val="center"/>
              <w:rPr>
                <w:rFonts w:ascii="Verdana" w:hAnsi="Verdana" w:cs="Arial"/>
                <w:b/>
                <w:sz w:val="24"/>
                <w:szCs w:val="24"/>
              </w:rPr>
            </w:pPr>
            <w:r w:rsidRPr="00324A16">
              <w:rPr>
                <w:rFonts w:ascii="Verdana" w:hAnsi="Verdana" w:cs="Arial"/>
                <w:b/>
                <w:sz w:val="24"/>
                <w:szCs w:val="24"/>
              </w:rPr>
              <w:t>2010</w:t>
            </w:r>
          </w:p>
        </w:tc>
        <w:tc>
          <w:tcPr>
            <w:tcW w:w="1638" w:type="dxa"/>
          </w:tcPr>
          <w:p w:rsidR="00F759EE" w:rsidRPr="00324A16" w:rsidRDefault="00F759EE" w:rsidP="00F759EE">
            <w:pPr>
              <w:jc w:val="center"/>
              <w:rPr>
                <w:rFonts w:ascii="Verdana" w:hAnsi="Verdana" w:cs="Arial"/>
                <w:b/>
                <w:sz w:val="24"/>
                <w:szCs w:val="24"/>
              </w:rPr>
            </w:pPr>
            <w:r w:rsidRPr="00324A16">
              <w:rPr>
                <w:rFonts w:ascii="Verdana" w:hAnsi="Verdana" w:cs="Arial"/>
                <w:b/>
                <w:sz w:val="24"/>
                <w:szCs w:val="24"/>
              </w:rPr>
              <w:t>2009</w:t>
            </w:r>
          </w:p>
        </w:tc>
      </w:tr>
      <w:tr w:rsidR="00F759EE" w:rsidTr="00ED52CA">
        <w:tc>
          <w:tcPr>
            <w:tcW w:w="4698" w:type="dxa"/>
          </w:tcPr>
          <w:p w:rsidR="00F759EE" w:rsidRDefault="00F759EE" w:rsidP="00DA29E6">
            <w:pPr>
              <w:rPr>
                <w:rFonts w:ascii="Verdana" w:hAnsi="Verdana" w:cs="Arial"/>
                <w:sz w:val="24"/>
                <w:szCs w:val="24"/>
              </w:rPr>
            </w:pPr>
            <w:r>
              <w:rPr>
                <w:rFonts w:ascii="Verdana" w:hAnsi="Verdana" w:cs="Arial"/>
                <w:sz w:val="24"/>
                <w:szCs w:val="24"/>
              </w:rPr>
              <w:t>Free cash flow/net income</w:t>
            </w:r>
          </w:p>
        </w:tc>
        <w:tc>
          <w:tcPr>
            <w:tcW w:w="1350" w:type="dxa"/>
          </w:tcPr>
          <w:p w:rsidR="00F759EE" w:rsidRDefault="00F759EE" w:rsidP="00F759EE">
            <w:pPr>
              <w:jc w:val="center"/>
              <w:rPr>
                <w:rFonts w:ascii="Verdana" w:hAnsi="Verdana" w:cs="Arial"/>
                <w:sz w:val="24"/>
                <w:szCs w:val="24"/>
              </w:rPr>
            </w:pPr>
            <w:r>
              <w:rPr>
                <w:rFonts w:ascii="Verdana" w:hAnsi="Verdana" w:cs="Arial"/>
                <w:sz w:val="24"/>
                <w:szCs w:val="24"/>
              </w:rPr>
              <w:t>0.27</w:t>
            </w:r>
          </w:p>
        </w:tc>
        <w:tc>
          <w:tcPr>
            <w:tcW w:w="1890" w:type="dxa"/>
          </w:tcPr>
          <w:p w:rsidR="00F759EE" w:rsidRDefault="00F759EE" w:rsidP="00F759EE">
            <w:pPr>
              <w:jc w:val="center"/>
              <w:rPr>
                <w:rFonts w:ascii="Verdana" w:hAnsi="Verdana" w:cs="Arial"/>
                <w:sz w:val="24"/>
                <w:szCs w:val="24"/>
              </w:rPr>
            </w:pPr>
            <w:r>
              <w:rPr>
                <w:rFonts w:ascii="Verdana" w:hAnsi="Verdana" w:cs="Arial"/>
                <w:sz w:val="24"/>
                <w:szCs w:val="24"/>
              </w:rPr>
              <w:t>1.13</w:t>
            </w:r>
          </w:p>
        </w:tc>
        <w:tc>
          <w:tcPr>
            <w:tcW w:w="1638" w:type="dxa"/>
          </w:tcPr>
          <w:p w:rsidR="00F759EE" w:rsidRDefault="00F759EE" w:rsidP="00F759EE">
            <w:pPr>
              <w:jc w:val="center"/>
              <w:rPr>
                <w:rFonts w:ascii="Verdana" w:hAnsi="Verdana" w:cs="Arial"/>
                <w:sz w:val="24"/>
                <w:szCs w:val="24"/>
              </w:rPr>
            </w:pPr>
            <w:r>
              <w:rPr>
                <w:rFonts w:ascii="Verdana" w:hAnsi="Verdana" w:cs="Arial"/>
                <w:sz w:val="24"/>
                <w:szCs w:val="24"/>
              </w:rPr>
              <w:t>4.20</w:t>
            </w:r>
          </w:p>
        </w:tc>
      </w:tr>
      <w:tr w:rsidR="00ED52CA" w:rsidTr="00ED52CA">
        <w:tc>
          <w:tcPr>
            <w:tcW w:w="4698" w:type="dxa"/>
          </w:tcPr>
          <w:p w:rsidR="00ED52CA" w:rsidRDefault="00ED52CA" w:rsidP="00DA29E6">
            <w:pPr>
              <w:rPr>
                <w:rFonts w:ascii="Verdana" w:hAnsi="Verdana" w:cs="Arial"/>
                <w:sz w:val="24"/>
                <w:szCs w:val="24"/>
              </w:rPr>
            </w:pPr>
            <w:r>
              <w:rPr>
                <w:rFonts w:ascii="Verdana" w:hAnsi="Verdana" w:cs="Arial"/>
                <w:sz w:val="24"/>
                <w:szCs w:val="24"/>
              </w:rPr>
              <w:t>Free cash flow/adjusted net income</w:t>
            </w:r>
          </w:p>
        </w:tc>
        <w:tc>
          <w:tcPr>
            <w:tcW w:w="1350" w:type="dxa"/>
          </w:tcPr>
          <w:p w:rsidR="00ED52CA" w:rsidRDefault="00ED52CA" w:rsidP="00F759EE">
            <w:pPr>
              <w:jc w:val="center"/>
              <w:rPr>
                <w:rFonts w:ascii="Verdana" w:hAnsi="Verdana" w:cs="Arial"/>
                <w:sz w:val="24"/>
                <w:szCs w:val="24"/>
              </w:rPr>
            </w:pPr>
            <w:r>
              <w:rPr>
                <w:rFonts w:ascii="Verdana" w:hAnsi="Verdana" w:cs="Arial"/>
                <w:sz w:val="24"/>
                <w:szCs w:val="24"/>
              </w:rPr>
              <w:t>0.63</w:t>
            </w:r>
          </w:p>
        </w:tc>
        <w:tc>
          <w:tcPr>
            <w:tcW w:w="1890" w:type="dxa"/>
          </w:tcPr>
          <w:p w:rsidR="00ED52CA" w:rsidRDefault="00324A16" w:rsidP="00F759EE">
            <w:pPr>
              <w:jc w:val="center"/>
              <w:rPr>
                <w:rFonts w:ascii="Verdana" w:hAnsi="Verdana" w:cs="Arial"/>
                <w:sz w:val="24"/>
                <w:szCs w:val="24"/>
              </w:rPr>
            </w:pPr>
            <w:r>
              <w:rPr>
                <w:rFonts w:ascii="Verdana" w:hAnsi="Verdana" w:cs="Arial"/>
                <w:sz w:val="24"/>
                <w:szCs w:val="24"/>
              </w:rPr>
              <w:t>N/A</w:t>
            </w:r>
          </w:p>
        </w:tc>
        <w:tc>
          <w:tcPr>
            <w:tcW w:w="1638" w:type="dxa"/>
          </w:tcPr>
          <w:p w:rsidR="00ED52CA" w:rsidRDefault="00324A16" w:rsidP="00F759EE">
            <w:pPr>
              <w:jc w:val="center"/>
              <w:rPr>
                <w:rFonts w:ascii="Verdana" w:hAnsi="Verdana" w:cs="Arial"/>
                <w:sz w:val="24"/>
                <w:szCs w:val="24"/>
              </w:rPr>
            </w:pPr>
            <w:r>
              <w:rPr>
                <w:rFonts w:ascii="Verdana" w:hAnsi="Verdana" w:cs="Arial"/>
                <w:sz w:val="24"/>
                <w:szCs w:val="24"/>
              </w:rPr>
              <w:t>N/A</w:t>
            </w:r>
          </w:p>
        </w:tc>
      </w:tr>
    </w:tbl>
    <w:p w:rsidR="005D7251" w:rsidRDefault="005D7251" w:rsidP="00DA29E6">
      <w:pPr>
        <w:rPr>
          <w:rFonts w:ascii="Verdana" w:hAnsi="Verdana" w:cs="Arial"/>
          <w:sz w:val="24"/>
          <w:szCs w:val="24"/>
        </w:rPr>
      </w:pPr>
    </w:p>
    <w:p w:rsidR="00324A16" w:rsidRDefault="004B6657" w:rsidP="00DA29E6">
      <w:pPr>
        <w:rPr>
          <w:rFonts w:ascii="Verdana" w:hAnsi="Verdana" w:cs="Arial"/>
          <w:sz w:val="24"/>
          <w:szCs w:val="24"/>
        </w:rPr>
      </w:pPr>
      <w:r>
        <w:rPr>
          <w:rFonts w:ascii="Verdana" w:hAnsi="Verdana" w:cs="Arial"/>
          <w:sz w:val="24"/>
          <w:szCs w:val="24"/>
        </w:rPr>
        <w:t>The 2009 and 2010 earnings number</w:t>
      </w:r>
      <w:r w:rsidR="00324A16">
        <w:rPr>
          <w:rFonts w:ascii="Verdana" w:hAnsi="Verdana" w:cs="Arial"/>
          <w:sz w:val="24"/>
          <w:szCs w:val="24"/>
        </w:rPr>
        <w:t>s</w:t>
      </w:r>
      <w:r>
        <w:rPr>
          <w:rFonts w:ascii="Verdana" w:hAnsi="Verdana" w:cs="Arial"/>
          <w:sz w:val="24"/>
          <w:szCs w:val="24"/>
        </w:rPr>
        <w:t xml:space="preserve"> have reasonably decent quality.  </w:t>
      </w:r>
      <w:r w:rsidR="00324A16">
        <w:rPr>
          <w:rFonts w:ascii="Verdana" w:hAnsi="Verdana" w:cs="Arial"/>
          <w:sz w:val="24"/>
          <w:szCs w:val="24"/>
        </w:rPr>
        <w:t>However, t</w:t>
      </w:r>
      <w:r>
        <w:rPr>
          <w:rFonts w:ascii="Verdana" w:hAnsi="Verdana" w:cs="Arial"/>
          <w:sz w:val="24"/>
          <w:szCs w:val="24"/>
        </w:rPr>
        <w:t>he 2011 income, by comparison, is in the toilet.  Interestingly, even if one reduces the in</w:t>
      </w:r>
      <w:r w:rsidR="00324A16">
        <w:rPr>
          <w:rFonts w:ascii="Verdana" w:hAnsi="Verdana" w:cs="Arial"/>
          <w:sz w:val="24"/>
          <w:szCs w:val="24"/>
        </w:rPr>
        <w:t xml:space="preserve">come for the valuation reversal </w:t>
      </w:r>
      <w:r>
        <w:rPr>
          <w:rFonts w:ascii="Verdana" w:hAnsi="Verdana" w:cs="Arial"/>
          <w:sz w:val="24"/>
          <w:szCs w:val="24"/>
        </w:rPr>
        <w:t xml:space="preserve">effect, the ratio is still below one.  </w:t>
      </w:r>
    </w:p>
    <w:p w:rsidR="00324A16" w:rsidRDefault="00324A16" w:rsidP="00DA29E6">
      <w:pPr>
        <w:rPr>
          <w:rFonts w:ascii="Verdana" w:hAnsi="Verdana" w:cs="Arial"/>
          <w:sz w:val="24"/>
          <w:szCs w:val="24"/>
        </w:rPr>
      </w:pPr>
    </w:p>
    <w:p w:rsidR="00324A16" w:rsidRDefault="00324A16" w:rsidP="00DA29E6">
      <w:pPr>
        <w:rPr>
          <w:rFonts w:ascii="Verdana" w:hAnsi="Verdana" w:cs="Arial"/>
          <w:sz w:val="24"/>
          <w:szCs w:val="24"/>
        </w:rPr>
      </w:pPr>
      <w:r>
        <w:rPr>
          <w:rFonts w:ascii="Verdana" w:hAnsi="Verdana" w:cs="Arial"/>
          <w:sz w:val="24"/>
          <w:szCs w:val="24"/>
        </w:rPr>
        <w:t>Similarly, the Company’s Excess Cash Margin metric (((operating cash flows minus operating earnings) / revenue) * 100) for the past seven years shows a deteriorating trend.</w:t>
      </w:r>
    </w:p>
    <w:p w:rsidR="00324A16" w:rsidRDefault="00324A16" w:rsidP="00DA29E6">
      <w:pPr>
        <w:rPr>
          <w:rFonts w:ascii="Verdana" w:hAnsi="Verdana" w:cs="Arial"/>
          <w:sz w:val="24"/>
          <w:szCs w:val="24"/>
        </w:rPr>
      </w:pPr>
    </w:p>
    <w:tbl>
      <w:tblPr>
        <w:tblW w:w="9480" w:type="dxa"/>
        <w:tblInd w:w="78" w:type="dxa"/>
        <w:tblLayout w:type="fixed"/>
        <w:tblLook w:val="0000"/>
      </w:tblPr>
      <w:tblGrid>
        <w:gridCol w:w="840"/>
        <w:gridCol w:w="1080"/>
        <w:gridCol w:w="1170"/>
        <w:gridCol w:w="1170"/>
        <w:gridCol w:w="1350"/>
        <w:gridCol w:w="1170"/>
        <w:gridCol w:w="1350"/>
        <w:gridCol w:w="1350"/>
      </w:tblGrid>
      <w:tr w:rsidR="00324A16" w:rsidRPr="00324A16" w:rsidTr="00324A16">
        <w:trPr>
          <w:trHeight w:val="247"/>
        </w:trPr>
        <w:tc>
          <w:tcPr>
            <w:tcW w:w="84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right"/>
              <w:rPr>
                <w:rFonts w:ascii="Verdana" w:hAnsi="Verdana" w:cs="Times New Roman"/>
                <w:color w:val="000000"/>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b/>
                <w:bCs/>
                <w:color w:val="000000"/>
                <w:sz w:val="24"/>
                <w:szCs w:val="24"/>
              </w:rPr>
            </w:pPr>
            <w:r w:rsidRPr="00324A16">
              <w:rPr>
                <w:rFonts w:ascii="Verdana" w:hAnsi="Verdana" w:cs="Times New Roman"/>
                <w:b/>
                <w:bCs/>
                <w:color w:val="000000"/>
                <w:sz w:val="24"/>
                <w:szCs w:val="24"/>
              </w:rPr>
              <w:t xml:space="preserve">2005 </w:t>
            </w:r>
          </w:p>
        </w:tc>
        <w:tc>
          <w:tcPr>
            <w:tcW w:w="117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b/>
                <w:bCs/>
                <w:color w:val="000000"/>
                <w:sz w:val="24"/>
                <w:szCs w:val="24"/>
              </w:rPr>
            </w:pPr>
            <w:r w:rsidRPr="00324A16">
              <w:rPr>
                <w:rFonts w:ascii="Verdana" w:hAnsi="Verdana" w:cs="Times New Roman"/>
                <w:b/>
                <w:bCs/>
                <w:color w:val="000000"/>
                <w:sz w:val="24"/>
                <w:szCs w:val="24"/>
              </w:rPr>
              <w:t xml:space="preserve">2006 </w:t>
            </w:r>
          </w:p>
        </w:tc>
        <w:tc>
          <w:tcPr>
            <w:tcW w:w="117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b/>
                <w:bCs/>
                <w:color w:val="000000"/>
                <w:sz w:val="24"/>
                <w:szCs w:val="24"/>
              </w:rPr>
            </w:pPr>
            <w:r w:rsidRPr="00324A16">
              <w:rPr>
                <w:rFonts w:ascii="Verdana" w:hAnsi="Verdana" w:cs="Times New Roman"/>
                <w:b/>
                <w:bCs/>
                <w:color w:val="000000"/>
                <w:sz w:val="24"/>
                <w:szCs w:val="24"/>
              </w:rPr>
              <w:t xml:space="preserve">2007 </w:t>
            </w:r>
          </w:p>
        </w:tc>
        <w:tc>
          <w:tcPr>
            <w:tcW w:w="135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b/>
                <w:bCs/>
                <w:color w:val="000000"/>
                <w:sz w:val="24"/>
                <w:szCs w:val="24"/>
              </w:rPr>
            </w:pPr>
            <w:r w:rsidRPr="00324A16">
              <w:rPr>
                <w:rFonts w:ascii="Verdana" w:hAnsi="Verdana" w:cs="Times New Roman"/>
                <w:b/>
                <w:bCs/>
                <w:color w:val="000000"/>
                <w:sz w:val="24"/>
                <w:szCs w:val="24"/>
              </w:rPr>
              <w:t xml:space="preserve">2008 </w:t>
            </w:r>
          </w:p>
        </w:tc>
        <w:tc>
          <w:tcPr>
            <w:tcW w:w="117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b/>
                <w:bCs/>
                <w:color w:val="000000"/>
                <w:sz w:val="24"/>
                <w:szCs w:val="24"/>
              </w:rPr>
            </w:pPr>
            <w:r w:rsidRPr="00324A16">
              <w:rPr>
                <w:rFonts w:ascii="Verdana" w:hAnsi="Verdana" w:cs="Times New Roman"/>
                <w:b/>
                <w:bCs/>
                <w:color w:val="000000"/>
                <w:sz w:val="24"/>
                <w:szCs w:val="24"/>
              </w:rPr>
              <w:t xml:space="preserve">2009 </w:t>
            </w:r>
          </w:p>
        </w:tc>
        <w:tc>
          <w:tcPr>
            <w:tcW w:w="135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b/>
                <w:bCs/>
                <w:color w:val="000000"/>
                <w:sz w:val="24"/>
                <w:szCs w:val="24"/>
              </w:rPr>
            </w:pPr>
            <w:r w:rsidRPr="00324A16">
              <w:rPr>
                <w:rFonts w:ascii="Verdana" w:hAnsi="Verdana" w:cs="Times New Roman"/>
                <w:b/>
                <w:bCs/>
                <w:color w:val="000000"/>
                <w:sz w:val="24"/>
                <w:szCs w:val="24"/>
              </w:rPr>
              <w:t xml:space="preserve">2010 </w:t>
            </w:r>
          </w:p>
        </w:tc>
        <w:tc>
          <w:tcPr>
            <w:tcW w:w="135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b/>
                <w:bCs/>
                <w:color w:val="000000"/>
                <w:sz w:val="24"/>
                <w:szCs w:val="24"/>
              </w:rPr>
            </w:pPr>
            <w:r w:rsidRPr="00324A16">
              <w:rPr>
                <w:rFonts w:ascii="Verdana" w:hAnsi="Verdana" w:cs="Times New Roman"/>
                <w:b/>
                <w:bCs/>
                <w:color w:val="000000"/>
                <w:sz w:val="24"/>
                <w:szCs w:val="24"/>
              </w:rPr>
              <w:t xml:space="preserve">2011 </w:t>
            </w:r>
          </w:p>
        </w:tc>
      </w:tr>
      <w:tr w:rsidR="00324A16" w:rsidRPr="00324A16" w:rsidTr="00324A16">
        <w:trPr>
          <w:trHeight w:val="247"/>
        </w:trPr>
        <w:tc>
          <w:tcPr>
            <w:tcW w:w="84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rPr>
                <w:rFonts w:ascii="Verdana" w:hAnsi="Verdana" w:cs="Times New Roman"/>
                <w:color w:val="000000"/>
                <w:sz w:val="24"/>
                <w:szCs w:val="24"/>
              </w:rPr>
            </w:pPr>
            <w:r w:rsidRPr="00324A16">
              <w:rPr>
                <w:rFonts w:ascii="Verdana" w:hAnsi="Verdana" w:cs="Times New Roman"/>
                <w:color w:val="000000"/>
                <w:sz w:val="24"/>
                <w:szCs w:val="24"/>
              </w:rPr>
              <w:t>ECM</w:t>
            </w:r>
          </w:p>
        </w:tc>
        <w:tc>
          <w:tcPr>
            <w:tcW w:w="108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color w:val="000000"/>
                <w:sz w:val="24"/>
                <w:szCs w:val="24"/>
              </w:rPr>
            </w:pPr>
            <w:r w:rsidRPr="00324A16">
              <w:rPr>
                <w:rFonts w:ascii="Verdana" w:hAnsi="Verdana" w:cs="Times New Roman"/>
                <w:color w:val="000000"/>
                <w:sz w:val="24"/>
                <w:szCs w:val="24"/>
              </w:rPr>
              <w:t>10.945</w:t>
            </w:r>
          </w:p>
        </w:tc>
        <w:tc>
          <w:tcPr>
            <w:tcW w:w="117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color w:val="000000"/>
                <w:sz w:val="24"/>
                <w:szCs w:val="24"/>
              </w:rPr>
            </w:pPr>
            <w:r w:rsidRPr="00324A16">
              <w:rPr>
                <w:rFonts w:ascii="Verdana" w:hAnsi="Verdana" w:cs="Times New Roman"/>
                <w:color w:val="000000"/>
                <w:sz w:val="24"/>
                <w:szCs w:val="24"/>
              </w:rPr>
              <w:t>15.402</w:t>
            </w:r>
          </w:p>
        </w:tc>
        <w:tc>
          <w:tcPr>
            <w:tcW w:w="117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color w:val="000000"/>
                <w:sz w:val="24"/>
                <w:szCs w:val="24"/>
              </w:rPr>
            </w:pPr>
            <w:r w:rsidRPr="00324A16">
              <w:rPr>
                <w:rFonts w:ascii="Verdana" w:hAnsi="Verdana" w:cs="Times New Roman"/>
                <w:color w:val="000000"/>
                <w:sz w:val="24"/>
                <w:szCs w:val="24"/>
              </w:rPr>
              <w:t>12.088</w:t>
            </w:r>
          </w:p>
        </w:tc>
        <w:tc>
          <w:tcPr>
            <w:tcW w:w="135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color w:val="000000"/>
                <w:sz w:val="24"/>
                <w:szCs w:val="24"/>
              </w:rPr>
            </w:pPr>
            <w:r w:rsidRPr="00324A16">
              <w:rPr>
                <w:rFonts w:ascii="Verdana" w:hAnsi="Verdana" w:cs="Times New Roman"/>
                <w:color w:val="000000"/>
                <w:sz w:val="24"/>
                <w:szCs w:val="24"/>
              </w:rPr>
              <w:t>9.725</w:t>
            </w:r>
          </w:p>
        </w:tc>
        <w:tc>
          <w:tcPr>
            <w:tcW w:w="117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color w:val="000000"/>
                <w:sz w:val="24"/>
                <w:szCs w:val="24"/>
              </w:rPr>
            </w:pPr>
            <w:r w:rsidRPr="00324A16">
              <w:rPr>
                <w:rFonts w:ascii="Verdana" w:hAnsi="Verdana" w:cs="Times New Roman"/>
                <w:color w:val="000000"/>
                <w:sz w:val="24"/>
                <w:szCs w:val="24"/>
              </w:rPr>
              <w:t>10.469</w:t>
            </w:r>
          </w:p>
        </w:tc>
        <w:tc>
          <w:tcPr>
            <w:tcW w:w="1350" w:type="dxa"/>
            <w:tcBorders>
              <w:top w:val="single" w:sz="2" w:space="0" w:color="000000"/>
              <w:left w:val="single" w:sz="2" w:space="0" w:color="000000"/>
              <w:bottom w:val="single" w:sz="2" w:space="0" w:color="000000"/>
              <w:right w:val="single" w:sz="2" w:space="0" w:color="000000"/>
            </w:tcBorders>
          </w:tcPr>
          <w:p w:rsidR="00324A16" w:rsidRPr="00324A16" w:rsidRDefault="00324A16" w:rsidP="00324A16">
            <w:pPr>
              <w:autoSpaceDE w:val="0"/>
              <w:autoSpaceDN w:val="0"/>
              <w:adjustRightInd w:val="0"/>
              <w:jc w:val="center"/>
              <w:rPr>
                <w:rFonts w:ascii="Verdana" w:hAnsi="Verdana" w:cs="Times New Roman"/>
                <w:color w:val="000000"/>
                <w:sz w:val="24"/>
                <w:szCs w:val="24"/>
              </w:rPr>
            </w:pPr>
            <w:r w:rsidRPr="00324A16">
              <w:rPr>
                <w:rFonts w:ascii="Verdana" w:hAnsi="Verdana" w:cs="Times New Roman"/>
                <w:color w:val="000000"/>
                <w:sz w:val="24"/>
                <w:szCs w:val="24"/>
              </w:rPr>
              <w:t>3.356</w:t>
            </w:r>
          </w:p>
        </w:tc>
        <w:tc>
          <w:tcPr>
            <w:tcW w:w="1350" w:type="dxa"/>
            <w:tcBorders>
              <w:top w:val="single" w:sz="2" w:space="0" w:color="000000"/>
              <w:left w:val="single" w:sz="2" w:space="0" w:color="000000"/>
              <w:bottom w:val="single" w:sz="2" w:space="0" w:color="000000"/>
              <w:right w:val="single" w:sz="2" w:space="0" w:color="000000"/>
            </w:tcBorders>
          </w:tcPr>
          <w:p w:rsidR="00324A16" w:rsidRPr="00324A16" w:rsidRDefault="00BD37AC" w:rsidP="00324A16">
            <w:pPr>
              <w:autoSpaceDE w:val="0"/>
              <w:autoSpaceDN w:val="0"/>
              <w:adjustRightInd w:val="0"/>
              <w:jc w:val="center"/>
              <w:rPr>
                <w:rFonts w:ascii="Verdana" w:hAnsi="Verdana" w:cs="Times New Roman"/>
                <w:color w:val="000000"/>
                <w:sz w:val="24"/>
                <w:szCs w:val="24"/>
              </w:rPr>
            </w:pPr>
            <w:r>
              <w:rPr>
                <w:rFonts w:ascii="Verdana" w:hAnsi="Verdana" w:cs="Times New Roman"/>
                <w:color w:val="000000"/>
                <w:sz w:val="24"/>
                <w:szCs w:val="24"/>
              </w:rPr>
              <w:t>0</w:t>
            </w:r>
            <w:r w:rsidR="00324A16" w:rsidRPr="00324A16">
              <w:rPr>
                <w:rFonts w:ascii="Verdana" w:hAnsi="Verdana" w:cs="Times New Roman"/>
                <w:color w:val="000000"/>
                <w:sz w:val="24"/>
                <w:szCs w:val="24"/>
              </w:rPr>
              <w:t>.809</w:t>
            </w:r>
          </w:p>
        </w:tc>
      </w:tr>
    </w:tbl>
    <w:p w:rsidR="00324A16" w:rsidRDefault="00324A16" w:rsidP="00DA29E6">
      <w:pPr>
        <w:rPr>
          <w:rFonts w:ascii="Verdana" w:hAnsi="Verdana" w:cs="Arial"/>
          <w:sz w:val="24"/>
          <w:szCs w:val="24"/>
        </w:rPr>
      </w:pPr>
    </w:p>
    <w:p w:rsidR="00324A16" w:rsidRDefault="00324A16" w:rsidP="00DA29E6">
      <w:pPr>
        <w:rPr>
          <w:rFonts w:ascii="Verdana" w:hAnsi="Verdana" w:cs="Arial"/>
          <w:sz w:val="24"/>
          <w:szCs w:val="24"/>
        </w:rPr>
      </w:pPr>
      <w:r>
        <w:rPr>
          <w:rFonts w:ascii="Verdana" w:hAnsi="Verdana" w:cs="Arial"/>
          <w:sz w:val="24"/>
          <w:szCs w:val="24"/>
        </w:rPr>
        <w:t>Ford’s declining ECM suggests that operating earnings are growing more quickly, or declining more slowly than operating cash flows.  Neither is a good sign or is sustainable.</w:t>
      </w:r>
    </w:p>
    <w:p w:rsidR="00324A16" w:rsidRDefault="00324A16" w:rsidP="00DA29E6">
      <w:pPr>
        <w:rPr>
          <w:rFonts w:ascii="Verdana" w:hAnsi="Verdana" w:cs="Arial"/>
          <w:sz w:val="24"/>
          <w:szCs w:val="24"/>
        </w:rPr>
      </w:pPr>
    </w:p>
    <w:p w:rsidR="004B6657" w:rsidRDefault="004B6657" w:rsidP="00DA29E6">
      <w:pPr>
        <w:rPr>
          <w:rFonts w:ascii="Verdana" w:hAnsi="Verdana" w:cs="Arial"/>
          <w:sz w:val="24"/>
          <w:szCs w:val="24"/>
        </w:rPr>
      </w:pPr>
      <w:r>
        <w:rPr>
          <w:rFonts w:ascii="Verdana" w:hAnsi="Verdana" w:cs="Arial"/>
          <w:sz w:val="24"/>
          <w:szCs w:val="24"/>
        </w:rPr>
        <w:t>Accordingly, we don’t think much of Ford’s income number, even if it is higher than past years.</w:t>
      </w:r>
      <w:r w:rsidR="0048091A">
        <w:rPr>
          <w:rFonts w:ascii="Verdana" w:hAnsi="Verdana" w:cs="Arial"/>
          <w:sz w:val="24"/>
          <w:szCs w:val="24"/>
        </w:rPr>
        <w:t xml:space="preserve">  </w:t>
      </w:r>
      <w:r>
        <w:rPr>
          <w:rFonts w:ascii="Verdana" w:hAnsi="Verdana" w:cs="Arial"/>
          <w:sz w:val="24"/>
          <w:szCs w:val="24"/>
        </w:rPr>
        <w:t>In short, more than half of Ford’s income is sus</w:t>
      </w:r>
      <w:r w:rsidR="00BD37AC">
        <w:rPr>
          <w:rFonts w:ascii="Verdana" w:hAnsi="Verdana" w:cs="Arial"/>
          <w:sz w:val="24"/>
          <w:szCs w:val="24"/>
        </w:rPr>
        <w:t xml:space="preserve">pect </w:t>
      </w:r>
      <w:r w:rsidR="00BD37AC">
        <w:rPr>
          <w:rFonts w:ascii="Verdana" w:hAnsi="Verdana" w:cs="Arial"/>
          <w:sz w:val="24"/>
          <w:szCs w:val="24"/>
        </w:rPr>
        <w:lastRenderedPageBreak/>
        <w:t>and the rest does not correlate well with cash flows.</w:t>
      </w:r>
      <w:r w:rsidR="0048091A">
        <w:rPr>
          <w:rFonts w:ascii="Verdana" w:hAnsi="Verdana" w:cs="Arial"/>
          <w:sz w:val="24"/>
          <w:szCs w:val="24"/>
        </w:rPr>
        <w:t xml:space="preserve"> We suggest </w:t>
      </w:r>
      <w:r>
        <w:rPr>
          <w:rFonts w:ascii="Verdana" w:hAnsi="Verdana" w:cs="Arial"/>
          <w:sz w:val="24"/>
          <w:szCs w:val="24"/>
        </w:rPr>
        <w:t xml:space="preserve">a closer look at </w:t>
      </w:r>
      <w:r w:rsidR="0048091A">
        <w:rPr>
          <w:rFonts w:ascii="Verdana" w:hAnsi="Verdana" w:cs="Arial"/>
          <w:sz w:val="24"/>
          <w:szCs w:val="24"/>
        </w:rPr>
        <w:t>Ford’s “better idea.”</w:t>
      </w:r>
    </w:p>
    <w:p w:rsidR="00CC4965" w:rsidRDefault="00CC4965" w:rsidP="00DA29E6">
      <w:pPr>
        <w:rPr>
          <w:rFonts w:ascii="Verdana" w:hAnsi="Verdana" w:cs="Arial"/>
          <w:sz w:val="24"/>
          <w:szCs w:val="24"/>
        </w:rPr>
      </w:pPr>
    </w:p>
    <w:p w:rsidR="005D7251" w:rsidRDefault="005D7251"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12"/>
  </w:num>
  <w:num w:numId="6">
    <w:abstractNumId w:val="5"/>
  </w:num>
  <w:num w:numId="7">
    <w:abstractNumId w:val="6"/>
  </w:num>
  <w:num w:numId="8">
    <w:abstractNumId w:val="3"/>
  </w:num>
  <w:num w:numId="9">
    <w:abstractNumId w:val="10"/>
  </w:num>
  <w:num w:numId="10">
    <w:abstractNumId w:val="1"/>
  </w:num>
  <w:num w:numId="11">
    <w:abstractNumId w:val="9"/>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223C"/>
    <w:rsid w:val="00013A1E"/>
    <w:rsid w:val="00014F46"/>
    <w:rsid w:val="00030FFC"/>
    <w:rsid w:val="00032D82"/>
    <w:rsid w:val="000334D4"/>
    <w:rsid w:val="000374C2"/>
    <w:rsid w:val="00045F9C"/>
    <w:rsid w:val="00052C5C"/>
    <w:rsid w:val="00070A9F"/>
    <w:rsid w:val="00081916"/>
    <w:rsid w:val="0008518C"/>
    <w:rsid w:val="00093316"/>
    <w:rsid w:val="000A3CC5"/>
    <w:rsid w:val="000A52AA"/>
    <w:rsid w:val="000A68B5"/>
    <w:rsid w:val="000B0974"/>
    <w:rsid w:val="000C0DAE"/>
    <w:rsid w:val="000C6302"/>
    <w:rsid w:val="000D246D"/>
    <w:rsid w:val="000E087B"/>
    <w:rsid w:val="000E2E4F"/>
    <w:rsid w:val="000F42DF"/>
    <w:rsid w:val="00124D4C"/>
    <w:rsid w:val="001300DC"/>
    <w:rsid w:val="0013578B"/>
    <w:rsid w:val="00162F11"/>
    <w:rsid w:val="00166500"/>
    <w:rsid w:val="0016737C"/>
    <w:rsid w:val="001823C4"/>
    <w:rsid w:val="00194419"/>
    <w:rsid w:val="001978FB"/>
    <w:rsid w:val="001A35D6"/>
    <w:rsid w:val="001A4C91"/>
    <w:rsid w:val="001A523B"/>
    <w:rsid w:val="001A5685"/>
    <w:rsid w:val="001A63DD"/>
    <w:rsid w:val="001B2AE8"/>
    <w:rsid w:val="001B3448"/>
    <w:rsid w:val="001B54FF"/>
    <w:rsid w:val="001C3948"/>
    <w:rsid w:val="001C5C9F"/>
    <w:rsid w:val="001C7FFA"/>
    <w:rsid w:val="0020134E"/>
    <w:rsid w:val="0020293D"/>
    <w:rsid w:val="00210838"/>
    <w:rsid w:val="002134E1"/>
    <w:rsid w:val="00215FD8"/>
    <w:rsid w:val="00217ACB"/>
    <w:rsid w:val="002254DA"/>
    <w:rsid w:val="002348DA"/>
    <w:rsid w:val="00264576"/>
    <w:rsid w:val="00285D9E"/>
    <w:rsid w:val="002921E3"/>
    <w:rsid w:val="002954BA"/>
    <w:rsid w:val="002A35CE"/>
    <w:rsid w:val="002B0A9D"/>
    <w:rsid w:val="002B29A5"/>
    <w:rsid w:val="002C3E0F"/>
    <w:rsid w:val="002C4F22"/>
    <w:rsid w:val="002F1C18"/>
    <w:rsid w:val="00304385"/>
    <w:rsid w:val="00307529"/>
    <w:rsid w:val="0031191B"/>
    <w:rsid w:val="00315910"/>
    <w:rsid w:val="00316C9F"/>
    <w:rsid w:val="00324A16"/>
    <w:rsid w:val="003259CE"/>
    <w:rsid w:val="00327520"/>
    <w:rsid w:val="0032760C"/>
    <w:rsid w:val="00346D8B"/>
    <w:rsid w:val="003571B0"/>
    <w:rsid w:val="003614EA"/>
    <w:rsid w:val="00362844"/>
    <w:rsid w:val="00362D5A"/>
    <w:rsid w:val="00383ECD"/>
    <w:rsid w:val="00387AD3"/>
    <w:rsid w:val="0039366C"/>
    <w:rsid w:val="00394F33"/>
    <w:rsid w:val="003A627B"/>
    <w:rsid w:val="003B5481"/>
    <w:rsid w:val="003C2F39"/>
    <w:rsid w:val="003C370E"/>
    <w:rsid w:val="003D7633"/>
    <w:rsid w:val="003E2195"/>
    <w:rsid w:val="003F2470"/>
    <w:rsid w:val="003F6FEC"/>
    <w:rsid w:val="00407FE7"/>
    <w:rsid w:val="00423830"/>
    <w:rsid w:val="00430CC2"/>
    <w:rsid w:val="00441449"/>
    <w:rsid w:val="00443813"/>
    <w:rsid w:val="00452131"/>
    <w:rsid w:val="004530EF"/>
    <w:rsid w:val="004534FA"/>
    <w:rsid w:val="00460BD2"/>
    <w:rsid w:val="00465E6E"/>
    <w:rsid w:val="00471A13"/>
    <w:rsid w:val="0048091A"/>
    <w:rsid w:val="004B03F1"/>
    <w:rsid w:val="004B57C9"/>
    <w:rsid w:val="004B6657"/>
    <w:rsid w:val="004D6BFC"/>
    <w:rsid w:val="004E7B9C"/>
    <w:rsid w:val="004F264C"/>
    <w:rsid w:val="004F5EB2"/>
    <w:rsid w:val="0050716A"/>
    <w:rsid w:val="005174B2"/>
    <w:rsid w:val="00520260"/>
    <w:rsid w:val="00520832"/>
    <w:rsid w:val="00534915"/>
    <w:rsid w:val="00547265"/>
    <w:rsid w:val="00566ACC"/>
    <w:rsid w:val="005679C2"/>
    <w:rsid w:val="00572989"/>
    <w:rsid w:val="0058071A"/>
    <w:rsid w:val="005877D3"/>
    <w:rsid w:val="00591E9C"/>
    <w:rsid w:val="005B3AFB"/>
    <w:rsid w:val="005B6B3D"/>
    <w:rsid w:val="005B7BA1"/>
    <w:rsid w:val="005C5AA8"/>
    <w:rsid w:val="005C719F"/>
    <w:rsid w:val="005C7FC3"/>
    <w:rsid w:val="005D3219"/>
    <w:rsid w:val="005D548A"/>
    <w:rsid w:val="005D7251"/>
    <w:rsid w:val="005E326A"/>
    <w:rsid w:val="005E40D4"/>
    <w:rsid w:val="005F2D0B"/>
    <w:rsid w:val="006062C5"/>
    <w:rsid w:val="00626CA8"/>
    <w:rsid w:val="00630BC8"/>
    <w:rsid w:val="00654AEE"/>
    <w:rsid w:val="00671DE9"/>
    <w:rsid w:val="00680C26"/>
    <w:rsid w:val="00681673"/>
    <w:rsid w:val="006A2E31"/>
    <w:rsid w:val="006A7CF1"/>
    <w:rsid w:val="006B5167"/>
    <w:rsid w:val="006D40B4"/>
    <w:rsid w:val="006F298B"/>
    <w:rsid w:val="00701811"/>
    <w:rsid w:val="007069CC"/>
    <w:rsid w:val="00716893"/>
    <w:rsid w:val="0072083E"/>
    <w:rsid w:val="007240D6"/>
    <w:rsid w:val="007310E9"/>
    <w:rsid w:val="007325F6"/>
    <w:rsid w:val="0073598B"/>
    <w:rsid w:val="00741CC4"/>
    <w:rsid w:val="00753045"/>
    <w:rsid w:val="0075714F"/>
    <w:rsid w:val="00762F72"/>
    <w:rsid w:val="007935E9"/>
    <w:rsid w:val="00795EDC"/>
    <w:rsid w:val="007A54C7"/>
    <w:rsid w:val="007C2521"/>
    <w:rsid w:val="007D30EB"/>
    <w:rsid w:val="007D7854"/>
    <w:rsid w:val="007E274D"/>
    <w:rsid w:val="007E4E7D"/>
    <w:rsid w:val="00823AFE"/>
    <w:rsid w:val="00825D4D"/>
    <w:rsid w:val="00826541"/>
    <w:rsid w:val="008265E1"/>
    <w:rsid w:val="00830A0B"/>
    <w:rsid w:val="00834103"/>
    <w:rsid w:val="00847F54"/>
    <w:rsid w:val="00874083"/>
    <w:rsid w:val="0088295A"/>
    <w:rsid w:val="00885921"/>
    <w:rsid w:val="00891757"/>
    <w:rsid w:val="008A78BC"/>
    <w:rsid w:val="008B5E1A"/>
    <w:rsid w:val="008C691D"/>
    <w:rsid w:val="008D2071"/>
    <w:rsid w:val="008D3E2E"/>
    <w:rsid w:val="008D5DE7"/>
    <w:rsid w:val="008E0442"/>
    <w:rsid w:val="008E6D9D"/>
    <w:rsid w:val="00907BCA"/>
    <w:rsid w:val="00930C78"/>
    <w:rsid w:val="00952126"/>
    <w:rsid w:val="009552D6"/>
    <w:rsid w:val="00974768"/>
    <w:rsid w:val="00975403"/>
    <w:rsid w:val="009A0991"/>
    <w:rsid w:val="009A26FD"/>
    <w:rsid w:val="009A40B3"/>
    <w:rsid w:val="009A6D9B"/>
    <w:rsid w:val="009B1A90"/>
    <w:rsid w:val="009D3CF4"/>
    <w:rsid w:val="009D772A"/>
    <w:rsid w:val="009E5848"/>
    <w:rsid w:val="009F0A97"/>
    <w:rsid w:val="00A02E34"/>
    <w:rsid w:val="00A03ADF"/>
    <w:rsid w:val="00A06B5A"/>
    <w:rsid w:val="00A11437"/>
    <w:rsid w:val="00A14E6E"/>
    <w:rsid w:val="00A2181F"/>
    <w:rsid w:val="00A2604A"/>
    <w:rsid w:val="00A35333"/>
    <w:rsid w:val="00A501CA"/>
    <w:rsid w:val="00A51B07"/>
    <w:rsid w:val="00A56122"/>
    <w:rsid w:val="00A623DC"/>
    <w:rsid w:val="00A759EC"/>
    <w:rsid w:val="00A94CD3"/>
    <w:rsid w:val="00A94ED1"/>
    <w:rsid w:val="00AA5143"/>
    <w:rsid w:val="00AB1EF1"/>
    <w:rsid w:val="00AB5DEF"/>
    <w:rsid w:val="00AC081E"/>
    <w:rsid w:val="00AC7090"/>
    <w:rsid w:val="00AD6616"/>
    <w:rsid w:val="00AE44C0"/>
    <w:rsid w:val="00B0534E"/>
    <w:rsid w:val="00B11CE6"/>
    <w:rsid w:val="00B12949"/>
    <w:rsid w:val="00B20912"/>
    <w:rsid w:val="00B20A52"/>
    <w:rsid w:val="00B22B1B"/>
    <w:rsid w:val="00B5636F"/>
    <w:rsid w:val="00B7722F"/>
    <w:rsid w:val="00B77990"/>
    <w:rsid w:val="00B77E24"/>
    <w:rsid w:val="00B80F61"/>
    <w:rsid w:val="00B8681F"/>
    <w:rsid w:val="00B91B36"/>
    <w:rsid w:val="00B91C46"/>
    <w:rsid w:val="00B92AA2"/>
    <w:rsid w:val="00BB6235"/>
    <w:rsid w:val="00BC1DB8"/>
    <w:rsid w:val="00BC33AB"/>
    <w:rsid w:val="00BD1C30"/>
    <w:rsid w:val="00BD37AC"/>
    <w:rsid w:val="00BD4859"/>
    <w:rsid w:val="00BD5A48"/>
    <w:rsid w:val="00BE5852"/>
    <w:rsid w:val="00BF4BFB"/>
    <w:rsid w:val="00BF4CC9"/>
    <w:rsid w:val="00BF663F"/>
    <w:rsid w:val="00C02A18"/>
    <w:rsid w:val="00C0326A"/>
    <w:rsid w:val="00C04A39"/>
    <w:rsid w:val="00C06BB5"/>
    <w:rsid w:val="00C06C9A"/>
    <w:rsid w:val="00C14B68"/>
    <w:rsid w:val="00C17B64"/>
    <w:rsid w:val="00C210AD"/>
    <w:rsid w:val="00C25606"/>
    <w:rsid w:val="00C265D4"/>
    <w:rsid w:val="00C40DDB"/>
    <w:rsid w:val="00C7386E"/>
    <w:rsid w:val="00C73BEA"/>
    <w:rsid w:val="00C83508"/>
    <w:rsid w:val="00C84E3D"/>
    <w:rsid w:val="00C86325"/>
    <w:rsid w:val="00CA4259"/>
    <w:rsid w:val="00CB2C19"/>
    <w:rsid w:val="00CB7FD0"/>
    <w:rsid w:val="00CC4965"/>
    <w:rsid w:val="00CC7B0A"/>
    <w:rsid w:val="00CD0E7F"/>
    <w:rsid w:val="00CD27FE"/>
    <w:rsid w:val="00CE1F6F"/>
    <w:rsid w:val="00CF567E"/>
    <w:rsid w:val="00CF5BF7"/>
    <w:rsid w:val="00CF6E0F"/>
    <w:rsid w:val="00D005BC"/>
    <w:rsid w:val="00D04C30"/>
    <w:rsid w:val="00D10237"/>
    <w:rsid w:val="00D15B07"/>
    <w:rsid w:val="00D42D55"/>
    <w:rsid w:val="00D546A3"/>
    <w:rsid w:val="00D54EF4"/>
    <w:rsid w:val="00D552C9"/>
    <w:rsid w:val="00D61215"/>
    <w:rsid w:val="00D66F58"/>
    <w:rsid w:val="00D72331"/>
    <w:rsid w:val="00D92C5E"/>
    <w:rsid w:val="00D96CB6"/>
    <w:rsid w:val="00DA29E6"/>
    <w:rsid w:val="00DB5864"/>
    <w:rsid w:val="00DC6A24"/>
    <w:rsid w:val="00DE470E"/>
    <w:rsid w:val="00DE58F7"/>
    <w:rsid w:val="00DF0BCE"/>
    <w:rsid w:val="00E02743"/>
    <w:rsid w:val="00E0278C"/>
    <w:rsid w:val="00E0530E"/>
    <w:rsid w:val="00E12A7D"/>
    <w:rsid w:val="00E13EA4"/>
    <w:rsid w:val="00E26ACF"/>
    <w:rsid w:val="00E318EE"/>
    <w:rsid w:val="00E656F7"/>
    <w:rsid w:val="00E6651F"/>
    <w:rsid w:val="00E70E2E"/>
    <w:rsid w:val="00E81155"/>
    <w:rsid w:val="00E85258"/>
    <w:rsid w:val="00EA73DD"/>
    <w:rsid w:val="00EB4D4A"/>
    <w:rsid w:val="00EB75E6"/>
    <w:rsid w:val="00ED3830"/>
    <w:rsid w:val="00ED52CA"/>
    <w:rsid w:val="00ED708A"/>
    <w:rsid w:val="00EE3621"/>
    <w:rsid w:val="00EE62E4"/>
    <w:rsid w:val="00EE6A29"/>
    <w:rsid w:val="00EF3CB2"/>
    <w:rsid w:val="00F0140C"/>
    <w:rsid w:val="00F37BB7"/>
    <w:rsid w:val="00F454E5"/>
    <w:rsid w:val="00F61B68"/>
    <w:rsid w:val="00F66731"/>
    <w:rsid w:val="00F7237C"/>
    <w:rsid w:val="00F7596C"/>
    <w:rsid w:val="00F759EE"/>
    <w:rsid w:val="00F8568F"/>
    <w:rsid w:val="00F93625"/>
    <w:rsid w:val="00F94C21"/>
    <w:rsid w:val="00F95297"/>
    <w:rsid w:val="00FA305E"/>
    <w:rsid w:val="00FB352F"/>
    <w:rsid w:val="00FB7F87"/>
    <w:rsid w:val="00FC520E"/>
    <w:rsid w:val="00FC5D0E"/>
    <w:rsid w:val="00FD0D5E"/>
    <w:rsid w:val="00FD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F7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smeal.psu.edu/grumpyoldaccountants/archives/265" TargetMode="External"/><Relationship Id="rId5" Type="http://schemas.openxmlformats.org/officeDocument/2006/relationships/hyperlink" Target="http://media.ford.com/article_display.cfm?article_id=358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4</cp:revision>
  <cp:lastPrinted>2011-08-13T14:23:00Z</cp:lastPrinted>
  <dcterms:created xsi:type="dcterms:W3CDTF">2012-03-07T18:25:00Z</dcterms:created>
  <dcterms:modified xsi:type="dcterms:W3CDTF">2012-03-07T19:34:00Z</dcterms:modified>
</cp:coreProperties>
</file>