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251" w:rsidRDefault="00AC1D0F" w:rsidP="005D7251">
      <w:pPr>
        <w:rPr>
          <w:rFonts w:ascii="Arial" w:hAnsi="Arial" w:cs="Arial"/>
          <w:b/>
          <w:sz w:val="28"/>
          <w:szCs w:val="28"/>
        </w:rPr>
      </w:pPr>
      <w:r>
        <w:rPr>
          <w:rFonts w:ascii="Arial" w:hAnsi="Arial" w:cs="Arial"/>
          <w:b/>
          <w:sz w:val="28"/>
          <w:szCs w:val="28"/>
        </w:rPr>
        <w:t xml:space="preserve">JCOM: </w:t>
      </w:r>
      <w:r w:rsidR="00010F03">
        <w:rPr>
          <w:rFonts w:ascii="Arial" w:hAnsi="Arial" w:cs="Arial"/>
          <w:b/>
          <w:sz w:val="28"/>
          <w:szCs w:val="28"/>
        </w:rPr>
        <w:t>WHEN WILL THE SEC CALL AN ERROR AN ERROR?</w:t>
      </w:r>
    </w:p>
    <w:p w:rsidR="00E81155" w:rsidRDefault="00E81155" w:rsidP="00E81155">
      <w:pPr>
        <w:rPr>
          <w:rFonts w:ascii="Arial" w:hAnsi="Arial" w:cs="Arial"/>
          <w:b/>
          <w:sz w:val="28"/>
          <w:szCs w:val="28"/>
        </w:rPr>
      </w:pPr>
    </w:p>
    <w:p w:rsidR="00E81155" w:rsidRDefault="00E81155" w:rsidP="00E81155">
      <w:pPr>
        <w:rPr>
          <w:rFonts w:ascii="Arial" w:hAnsi="Arial" w:cs="Arial"/>
          <w:b/>
          <w:i/>
          <w:sz w:val="24"/>
          <w:szCs w:val="24"/>
        </w:rPr>
      </w:pPr>
      <w:r w:rsidRPr="0087771A">
        <w:rPr>
          <w:rFonts w:ascii="Arial" w:hAnsi="Arial" w:cs="Arial"/>
          <w:b/>
          <w:i/>
          <w:sz w:val="24"/>
          <w:szCs w:val="24"/>
        </w:rPr>
        <w:t>Anthony H. Catanach Jr. and J. Edward Ketz</w:t>
      </w:r>
    </w:p>
    <w:p w:rsidR="00E81155" w:rsidRDefault="00E81155" w:rsidP="00E81155">
      <w:pPr>
        <w:rPr>
          <w:rFonts w:ascii="Arial" w:hAnsi="Arial" w:cs="Arial"/>
          <w:b/>
          <w:i/>
          <w:sz w:val="24"/>
          <w:szCs w:val="24"/>
        </w:rPr>
      </w:pPr>
      <w:r>
        <w:rPr>
          <w:rFonts w:ascii="Arial" w:hAnsi="Arial" w:cs="Arial"/>
          <w:b/>
          <w:i/>
          <w:sz w:val="24"/>
          <w:szCs w:val="24"/>
        </w:rPr>
        <w:t xml:space="preserve">Grumpy Old Accountants, </w:t>
      </w:r>
      <w:r w:rsidR="0072083E">
        <w:rPr>
          <w:rFonts w:ascii="Arial" w:hAnsi="Arial" w:cs="Arial"/>
          <w:b/>
          <w:i/>
          <w:sz w:val="24"/>
          <w:szCs w:val="24"/>
        </w:rPr>
        <w:t>March</w:t>
      </w:r>
      <w:r w:rsidR="00307529">
        <w:rPr>
          <w:rFonts w:ascii="Arial" w:hAnsi="Arial" w:cs="Arial"/>
          <w:b/>
          <w:i/>
          <w:sz w:val="24"/>
          <w:szCs w:val="24"/>
        </w:rPr>
        <w:t xml:space="preserve"> </w:t>
      </w:r>
      <w:r>
        <w:rPr>
          <w:rFonts w:ascii="Arial" w:hAnsi="Arial" w:cs="Arial"/>
          <w:b/>
          <w:i/>
          <w:sz w:val="24"/>
          <w:szCs w:val="24"/>
        </w:rPr>
        <w:t>201</w:t>
      </w:r>
      <w:r w:rsidR="00307529">
        <w:rPr>
          <w:rFonts w:ascii="Arial" w:hAnsi="Arial" w:cs="Arial"/>
          <w:b/>
          <w:i/>
          <w:sz w:val="24"/>
          <w:szCs w:val="24"/>
        </w:rPr>
        <w:t>2</w:t>
      </w:r>
    </w:p>
    <w:p w:rsidR="00BF4CC9" w:rsidRDefault="00BF4CC9" w:rsidP="00DA29E6">
      <w:pPr>
        <w:rPr>
          <w:rFonts w:ascii="Verdana" w:hAnsi="Verdana" w:cs="Arial"/>
          <w:sz w:val="24"/>
          <w:szCs w:val="24"/>
        </w:rPr>
      </w:pPr>
    </w:p>
    <w:p w:rsidR="00AC1D0F" w:rsidRDefault="00AC1D0F" w:rsidP="00DA29E6">
      <w:pPr>
        <w:rPr>
          <w:rFonts w:ascii="Verdana" w:hAnsi="Verdana" w:cs="Arial"/>
          <w:sz w:val="24"/>
          <w:szCs w:val="24"/>
        </w:rPr>
      </w:pPr>
    </w:p>
    <w:p w:rsidR="00010F03" w:rsidRDefault="00010F03" w:rsidP="00DA29E6">
      <w:pPr>
        <w:rPr>
          <w:rFonts w:ascii="Verdana" w:hAnsi="Verdana" w:cs="Arial"/>
          <w:sz w:val="24"/>
          <w:szCs w:val="24"/>
        </w:rPr>
      </w:pPr>
      <w:r>
        <w:rPr>
          <w:rFonts w:ascii="Verdana" w:hAnsi="Verdana" w:cs="Arial"/>
          <w:sz w:val="24"/>
          <w:szCs w:val="24"/>
        </w:rPr>
        <w:t xml:space="preserve">The business enterprise j2 Global Communications (JCOM) in </w:t>
      </w:r>
      <w:hyperlink r:id="rId5" w:history="1">
        <w:r w:rsidRPr="00010F03">
          <w:rPr>
            <w:rStyle w:val="Hyperlink"/>
            <w:rFonts w:ascii="Verdana" w:hAnsi="Verdana" w:cs="Arial"/>
            <w:sz w:val="24"/>
            <w:szCs w:val="24"/>
          </w:rPr>
          <w:t>its first quarter 2011 filing</w:t>
        </w:r>
      </w:hyperlink>
      <w:r>
        <w:rPr>
          <w:rFonts w:ascii="Verdana" w:hAnsi="Verdana" w:cs="Arial"/>
          <w:sz w:val="24"/>
          <w:szCs w:val="24"/>
        </w:rPr>
        <w:t xml:space="preserve"> </w:t>
      </w:r>
      <w:r w:rsidR="00277971">
        <w:rPr>
          <w:rFonts w:ascii="Verdana" w:hAnsi="Verdana" w:cs="Arial"/>
          <w:sz w:val="24"/>
          <w:szCs w:val="24"/>
        </w:rPr>
        <w:t>made</w:t>
      </w:r>
      <w:r>
        <w:rPr>
          <w:rFonts w:ascii="Verdana" w:hAnsi="Verdana" w:cs="Arial"/>
          <w:sz w:val="24"/>
          <w:szCs w:val="24"/>
        </w:rPr>
        <w:t xml:space="preserve"> an accounting change </w:t>
      </w:r>
      <w:r w:rsidR="00277971">
        <w:rPr>
          <w:rFonts w:ascii="Verdana" w:hAnsi="Verdana" w:cs="Arial"/>
          <w:sz w:val="24"/>
          <w:szCs w:val="24"/>
        </w:rPr>
        <w:t xml:space="preserve">and called it </w:t>
      </w:r>
      <w:r>
        <w:rPr>
          <w:rFonts w:ascii="Verdana" w:hAnsi="Verdana" w:cs="Arial"/>
          <w:sz w:val="24"/>
          <w:szCs w:val="24"/>
        </w:rPr>
        <w:t xml:space="preserve">a change in estimate.  As several observers </w:t>
      </w:r>
      <w:r w:rsidR="009E1F3E">
        <w:rPr>
          <w:rFonts w:ascii="Verdana" w:hAnsi="Verdana" w:cs="Arial"/>
          <w:sz w:val="24"/>
          <w:szCs w:val="24"/>
        </w:rPr>
        <w:t>have noted, what the Company</w:t>
      </w:r>
      <w:r>
        <w:rPr>
          <w:rFonts w:ascii="Verdana" w:hAnsi="Verdana" w:cs="Arial"/>
          <w:sz w:val="24"/>
          <w:szCs w:val="24"/>
        </w:rPr>
        <w:t xml:space="preserve"> called a change in </w:t>
      </w:r>
      <w:r w:rsidRPr="009E1F3E">
        <w:rPr>
          <w:rFonts w:ascii="Verdana" w:hAnsi="Verdana" w:cs="Arial"/>
          <w:i/>
          <w:sz w:val="24"/>
          <w:szCs w:val="24"/>
        </w:rPr>
        <w:t>estimate</w:t>
      </w:r>
      <w:r>
        <w:rPr>
          <w:rFonts w:ascii="Verdana" w:hAnsi="Verdana" w:cs="Arial"/>
          <w:sz w:val="24"/>
          <w:szCs w:val="24"/>
        </w:rPr>
        <w:t xml:space="preserve"> is really an accounting </w:t>
      </w:r>
      <w:r w:rsidRPr="009E1F3E">
        <w:rPr>
          <w:rFonts w:ascii="Verdana" w:hAnsi="Verdana" w:cs="Arial"/>
          <w:i/>
          <w:sz w:val="24"/>
          <w:szCs w:val="24"/>
        </w:rPr>
        <w:t>error</w:t>
      </w:r>
      <w:r>
        <w:rPr>
          <w:rFonts w:ascii="Verdana" w:hAnsi="Verdana" w:cs="Arial"/>
          <w:sz w:val="24"/>
          <w:szCs w:val="24"/>
        </w:rPr>
        <w:t>.  What we would like to know is when will the SEC take JCOM’s managers to the woodshed and call an er</w:t>
      </w:r>
      <w:r w:rsidR="009E1F3E">
        <w:rPr>
          <w:rFonts w:ascii="Verdana" w:hAnsi="Verdana" w:cs="Arial"/>
          <w:sz w:val="24"/>
          <w:szCs w:val="24"/>
        </w:rPr>
        <w:t>ror an error</w:t>
      </w:r>
      <w:r w:rsidR="00277971">
        <w:rPr>
          <w:rFonts w:ascii="Verdana" w:hAnsi="Verdana" w:cs="Arial"/>
          <w:sz w:val="24"/>
          <w:szCs w:val="24"/>
        </w:rPr>
        <w:t>.</w:t>
      </w:r>
    </w:p>
    <w:p w:rsidR="00010F03" w:rsidRDefault="00010F03" w:rsidP="00DA29E6">
      <w:pPr>
        <w:rPr>
          <w:rFonts w:ascii="Verdana" w:hAnsi="Verdana" w:cs="Arial"/>
          <w:sz w:val="24"/>
          <w:szCs w:val="24"/>
        </w:rPr>
      </w:pPr>
    </w:p>
    <w:p w:rsidR="00010F03" w:rsidRDefault="00F740AF" w:rsidP="00DA29E6">
      <w:pPr>
        <w:rPr>
          <w:rFonts w:ascii="Verdana" w:hAnsi="Verdana" w:cs="Arial"/>
          <w:sz w:val="24"/>
          <w:szCs w:val="24"/>
        </w:rPr>
      </w:pPr>
      <w:hyperlink r:id="rId6" w:history="1">
        <w:r w:rsidR="00A245BF" w:rsidRPr="00A245BF">
          <w:rPr>
            <w:rStyle w:val="Hyperlink"/>
            <w:rFonts w:ascii="Verdana" w:hAnsi="Verdana" w:cs="Arial"/>
            <w:sz w:val="24"/>
            <w:szCs w:val="24"/>
          </w:rPr>
          <w:t>Gradient Analytics</w:t>
        </w:r>
      </w:hyperlink>
      <w:r w:rsidR="00A245BF">
        <w:rPr>
          <w:rFonts w:ascii="Verdana" w:hAnsi="Verdana" w:cs="Arial"/>
          <w:sz w:val="24"/>
          <w:szCs w:val="24"/>
        </w:rPr>
        <w:t xml:space="preserve"> may have been the first to report this anomaly.  In its November 21, 2011 report, it gave JCOM an earnings quality grade of </w:t>
      </w:r>
      <w:r w:rsidR="009E1F3E">
        <w:rPr>
          <w:rFonts w:ascii="Verdana" w:hAnsi="Verdana" w:cs="Arial"/>
          <w:sz w:val="24"/>
          <w:szCs w:val="24"/>
        </w:rPr>
        <w:t>“</w:t>
      </w:r>
      <w:r w:rsidR="00A245BF">
        <w:rPr>
          <w:rFonts w:ascii="Verdana" w:hAnsi="Verdana" w:cs="Arial"/>
          <w:sz w:val="24"/>
          <w:szCs w:val="24"/>
        </w:rPr>
        <w:t>F</w:t>
      </w:r>
      <w:r w:rsidR="009E1F3E">
        <w:rPr>
          <w:rFonts w:ascii="Verdana" w:hAnsi="Verdana" w:cs="Arial"/>
          <w:sz w:val="24"/>
          <w:szCs w:val="24"/>
        </w:rPr>
        <w:t>” (boy, were they grumpy or what?)</w:t>
      </w:r>
      <w:r w:rsidR="00A245BF">
        <w:rPr>
          <w:rFonts w:ascii="Verdana" w:hAnsi="Verdana" w:cs="Arial"/>
          <w:sz w:val="24"/>
          <w:szCs w:val="24"/>
        </w:rPr>
        <w:t>.  In part</w:t>
      </w:r>
      <w:r w:rsidR="009E1F3E">
        <w:rPr>
          <w:rFonts w:ascii="Verdana" w:hAnsi="Verdana" w:cs="Arial"/>
          <w:sz w:val="24"/>
          <w:szCs w:val="24"/>
        </w:rPr>
        <w:t>,</w:t>
      </w:r>
      <w:r w:rsidR="00A245BF">
        <w:rPr>
          <w:rFonts w:ascii="Verdana" w:hAnsi="Verdana" w:cs="Arial"/>
          <w:sz w:val="24"/>
          <w:szCs w:val="24"/>
        </w:rPr>
        <w:t xml:space="preserve"> this f</w:t>
      </w:r>
      <w:r w:rsidR="009E1F3E">
        <w:rPr>
          <w:rFonts w:ascii="Verdana" w:hAnsi="Verdana" w:cs="Arial"/>
          <w:sz w:val="24"/>
          <w:szCs w:val="24"/>
        </w:rPr>
        <w:t xml:space="preserve">ailing grade was due to the Company’s mislabeling </w:t>
      </w:r>
      <w:r w:rsidR="00A245BF">
        <w:rPr>
          <w:rFonts w:ascii="Verdana" w:hAnsi="Verdana" w:cs="Arial"/>
          <w:sz w:val="24"/>
          <w:szCs w:val="24"/>
        </w:rPr>
        <w:t>an error a</w:t>
      </w:r>
      <w:r w:rsidR="009E1F3E">
        <w:rPr>
          <w:rFonts w:ascii="Verdana" w:hAnsi="Verdana" w:cs="Arial"/>
          <w:sz w:val="24"/>
          <w:szCs w:val="24"/>
        </w:rPr>
        <w:t>s a</w:t>
      </w:r>
      <w:r w:rsidR="00A245BF">
        <w:rPr>
          <w:rFonts w:ascii="Verdana" w:hAnsi="Verdana" w:cs="Arial"/>
          <w:sz w:val="24"/>
          <w:szCs w:val="24"/>
        </w:rPr>
        <w:t xml:space="preserve"> change in estimate.</w:t>
      </w:r>
      <w:r w:rsidR="009E1F3E">
        <w:rPr>
          <w:rFonts w:ascii="Verdana" w:hAnsi="Verdana" w:cs="Arial"/>
          <w:sz w:val="24"/>
          <w:szCs w:val="24"/>
        </w:rPr>
        <w:t xml:space="preserve">  </w:t>
      </w:r>
      <w:r w:rsidR="001E66C7">
        <w:rPr>
          <w:rFonts w:ascii="Verdana" w:hAnsi="Verdana" w:cs="Arial"/>
          <w:sz w:val="24"/>
          <w:szCs w:val="24"/>
        </w:rPr>
        <w:t>Basically</w:t>
      </w:r>
      <w:r w:rsidR="009E1F3E">
        <w:rPr>
          <w:rFonts w:ascii="Verdana" w:hAnsi="Verdana" w:cs="Arial"/>
          <w:sz w:val="24"/>
          <w:szCs w:val="24"/>
        </w:rPr>
        <w:t>, JCOM through transparency right out the window.</w:t>
      </w:r>
    </w:p>
    <w:p w:rsidR="00A245BF" w:rsidRDefault="00A245BF" w:rsidP="00DA29E6">
      <w:pPr>
        <w:rPr>
          <w:rFonts w:ascii="Verdana" w:hAnsi="Verdana" w:cs="Arial"/>
          <w:sz w:val="24"/>
          <w:szCs w:val="24"/>
        </w:rPr>
      </w:pPr>
    </w:p>
    <w:p w:rsidR="00A245BF" w:rsidRDefault="00A245BF" w:rsidP="00DA29E6">
      <w:pPr>
        <w:rPr>
          <w:rFonts w:ascii="Verdana" w:hAnsi="Verdana" w:cs="Arial"/>
          <w:sz w:val="24"/>
          <w:szCs w:val="24"/>
        </w:rPr>
      </w:pPr>
      <w:r>
        <w:rPr>
          <w:rFonts w:ascii="Verdana" w:hAnsi="Verdana" w:cs="Arial"/>
          <w:sz w:val="24"/>
          <w:szCs w:val="24"/>
        </w:rPr>
        <w:t>Sam Antar pointed out this discrepancy in his</w:t>
      </w:r>
      <w:hyperlink r:id="rId7" w:history="1">
        <w:r w:rsidRPr="00A245BF">
          <w:rPr>
            <w:rStyle w:val="Hyperlink"/>
            <w:rFonts w:ascii="Verdana" w:hAnsi="Verdana" w:cs="Arial"/>
            <w:sz w:val="24"/>
            <w:szCs w:val="24"/>
          </w:rPr>
          <w:t xml:space="preserve"> blo</w:t>
        </w:r>
        <w:r w:rsidR="00C86849">
          <w:rPr>
            <w:rStyle w:val="Hyperlink"/>
            <w:rFonts w:ascii="Verdana" w:hAnsi="Verdana" w:cs="Arial"/>
            <w:sz w:val="24"/>
            <w:szCs w:val="24"/>
          </w:rPr>
          <w:t>g “White Collar Fraud.”</w:t>
        </w:r>
      </w:hyperlink>
      <w:r w:rsidR="00C86849">
        <w:rPr>
          <w:rFonts w:ascii="Verdana" w:hAnsi="Verdana" w:cs="Arial"/>
          <w:sz w:val="24"/>
          <w:szCs w:val="24"/>
        </w:rPr>
        <w:t xml:space="preserve">  Tracy Coenen likewise raised questions about this sleight of hand in her post </w:t>
      </w:r>
      <w:hyperlink r:id="rId8" w:history="1">
        <w:r w:rsidR="00C86849" w:rsidRPr="00C86849">
          <w:rPr>
            <w:rStyle w:val="Hyperlink"/>
            <w:rFonts w:ascii="Verdana" w:hAnsi="Verdana" w:cs="Arial"/>
            <w:sz w:val="24"/>
            <w:szCs w:val="24"/>
          </w:rPr>
          <w:t>“[JCOM] …Trying to Hide Accounting Errors.”</w:t>
        </w:r>
      </w:hyperlink>
      <w:r w:rsidR="00C86849">
        <w:rPr>
          <w:rFonts w:ascii="Verdana" w:hAnsi="Verdana" w:cs="Arial"/>
          <w:sz w:val="24"/>
          <w:szCs w:val="24"/>
        </w:rPr>
        <w:t xml:space="preserve">  Both of them referred to the research by Gradient Analytics, and both of them agreed that this change was an accounting error.</w:t>
      </w:r>
    </w:p>
    <w:p w:rsidR="00A245BF" w:rsidRDefault="00A245BF" w:rsidP="00DA29E6">
      <w:pPr>
        <w:rPr>
          <w:rFonts w:ascii="Verdana" w:hAnsi="Verdana" w:cs="Arial"/>
          <w:sz w:val="24"/>
          <w:szCs w:val="24"/>
        </w:rPr>
      </w:pPr>
    </w:p>
    <w:p w:rsidR="00AC1D0F" w:rsidRDefault="00C86849" w:rsidP="00DA29E6">
      <w:pPr>
        <w:rPr>
          <w:rFonts w:ascii="Verdana" w:hAnsi="Verdana" w:cs="Arial"/>
          <w:sz w:val="24"/>
          <w:szCs w:val="24"/>
        </w:rPr>
      </w:pPr>
      <w:r>
        <w:rPr>
          <w:rFonts w:ascii="Verdana" w:hAnsi="Verdana" w:cs="Arial"/>
          <w:sz w:val="24"/>
          <w:szCs w:val="24"/>
        </w:rPr>
        <w:t>Here are the details.  In footnote 1 of the 10-Q (Q1 2011), JCOM writes:</w:t>
      </w:r>
    </w:p>
    <w:p w:rsidR="00C86849" w:rsidRDefault="00C86849" w:rsidP="00DA29E6">
      <w:pPr>
        <w:rPr>
          <w:rFonts w:ascii="Verdana" w:hAnsi="Verdana" w:cs="Arial"/>
          <w:sz w:val="24"/>
          <w:szCs w:val="24"/>
        </w:rPr>
      </w:pPr>
    </w:p>
    <w:p w:rsidR="00C86849" w:rsidRPr="009F67D3" w:rsidRDefault="001545B1" w:rsidP="00C86849">
      <w:pPr>
        <w:shd w:val="clear" w:color="auto" w:fill="FFFFFF"/>
        <w:ind w:left="720"/>
        <w:rPr>
          <w:rFonts w:ascii="Verdana" w:eastAsia="Times New Roman" w:hAnsi="Verdana" w:cs="Times New Roman"/>
          <w:color w:val="000000"/>
          <w:sz w:val="24"/>
          <w:szCs w:val="24"/>
        </w:rPr>
      </w:pPr>
      <w:r w:rsidRPr="009F67D3">
        <w:rPr>
          <w:rFonts w:ascii="Verdana" w:eastAsia="Times New Roman" w:hAnsi="Verdana" w:cs="Times New Roman"/>
          <w:color w:val="000000"/>
          <w:sz w:val="24"/>
          <w:szCs w:val="24"/>
        </w:rPr>
        <w:t>“</w:t>
      </w:r>
      <w:r w:rsidR="00C86849" w:rsidRPr="009F67D3">
        <w:rPr>
          <w:rFonts w:ascii="Verdana" w:eastAsia="Times New Roman" w:hAnsi="Verdana" w:cs="Times New Roman"/>
          <w:color w:val="000000"/>
          <w:sz w:val="24"/>
          <w:szCs w:val="24"/>
        </w:rPr>
        <w:t>In the first quarter of 2011, the Company made a change in estimate regarding the remaining service obligations to its annual eFax® subscribers.  As a result of system upgrades, the Company is now basing the estimate on the actual remaining service obligations to these customers.  As a result of this change, the Company recorded a one-time, non-cash increase to deferred revenues of $10.3 million with an equal offset to revenues.  This change in estimate reduced net income by approximately $7.6 million, net of tax, and reduced basic and diluted earnings per share for the three months ended March 31, 2011 by $0.17 and $0.16, respectively.</w:t>
      </w:r>
      <w:r w:rsidRPr="009F67D3">
        <w:rPr>
          <w:rFonts w:ascii="Verdana" w:eastAsia="Times New Roman" w:hAnsi="Verdana" w:cs="Times New Roman"/>
          <w:color w:val="000000"/>
          <w:sz w:val="24"/>
          <w:szCs w:val="24"/>
        </w:rPr>
        <w:t>”</w:t>
      </w:r>
    </w:p>
    <w:p w:rsidR="00AC1D0F" w:rsidRDefault="00AC1D0F" w:rsidP="00DA29E6">
      <w:pPr>
        <w:rPr>
          <w:rFonts w:ascii="Verdana" w:hAnsi="Verdana" w:cs="Arial"/>
          <w:sz w:val="24"/>
          <w:szCs w:val="24"/>
        </w:rPr>
      </w:pPr>
    </w:p>
    <w:p w:rsidR="00AC1D0F" w:rsidRDefault="003B5E31" w:rsidP="00DA29E6">
      <w:pPr>
        <w:rPr>
          <w:rFonts w:ascii="Verdana" w:hAnsi="Verdana" w:cs="Arial"/>
          <w:sz w:val="24"/>
          <w:szCs w:val="24"/>
        </w:rPr>
      </w:pPr>
      <w:r>
        <w:rPr>
          <w:rFonts w:ascii="Verdana" w:hAnsi="Verdana" w:cs="Arial"/>
          <w:sz w:val="24"/>
          <w:szCs w:val="24"/>
        </w:rPr>
        <w:t xml:space="preserve">This description is baffling.  Estimates are for unobservables, generally items that are future-oriented.  For example, depreciation requires an estimate of the remaining life of the asset and an estimate of its salvage value at some unknown future date.  As time goes by, managers may be in a </w:t>
      </w:r>
      <w:r w:rsidR="00277971">
        <w:rPr>
          <w:rFonts w:ascii="Verdana" w:hAnsi="Verdana" w:cs="Arial"/>
          <w:sz w:val="24"/>
          <w:szCs w:val="24"/>
        </w:rPr>
        <w:t xml:space="preserve">better </w:t>
      </w:r>
      <w:r>
        <w:rPr>
          <w:rFonts w:ascii="Verdana" w:hAnsi="Verdana" w:cs="Arial"/>
          <w:sz w:val="24"/>
          <w:szCs w:val="24"/>
        </w:rPr>
        <w:t xml:space="preserve">position to assess these unknowns, and any revisions will be changes in estimates.  Similar statements can be made about depletion, amortization, </w:t>
      </w:r>
      <w:r>
        <w:rPr>
          <w:rFonts w:ascii="Verdana" w:hAnsi="Verdana" w:cs="Arial"/>
          <w:sz w:val="24"/>
          <w:szCs w:val="24"/>
        </w:rPr>
        <w:lastRenderedPageBreak/>
        <w:t>bad debts, sales returns, and a variety of items.  In</w:t>
      </w:r>
      <w:r w:rsidR="001545B1">
        <w:rPr>
          <w:rFonts w:ascii="Verdana" w:hAnsi="Verdana" w:cs="Arial"/>
          <w:sz w:val="24"/>
          <w:szCs w:val="24"/>
        </w:rPr>
        <w:t xml:space="preserve"> every case, the estimates are </w:t>
      </w:r>
      <w:r>
        <w:rPr>
          <w:rFonts w:ascii="Verdana" w:hAnsi="Verdana" w:cs="Arial"/>
          <w:sz w:val="24"/>
          <w:szCs w:val="24"/>
        </w:rPr>
        <w:t>for future items, be they the asset’s life, the amount of future cash collections from customers, the amount of future returns, etc.</w:t>
      </w:r>
    </w:p>
    <w:p w:rsidR="003B5E31" w:rsidRDefault="003B5E31" w:rsidP="00DA29E6">
      <w:pPr>
        <w:rPr>
          <w:rFonts w:ascii="Verdana" w:hAnsi="Verdana" w:cs="Arial"/>
          <w:sz w:val="24"/>
          <w:szCs w:val="24"/>
        </w:rPr>
      </w:pPr>
    </w:p>
    <w:p w:rsidR="00AC1D0F" w:rsidRDefault="001545B1" w:rsidP="00DA29E6">
      <w:pPr>
        <w:rPr>
          <w:rFonts w:ascii="Verdana" w:hAnsi="Verdana" w:cs="Arial"/>
          <w:sz w:val="24"/>
          <w:szCs w:val="24"/>
        </w:rPr>
      </w:pPr>
      <w:r>
        <w:rPr>
          <w:rFonts w:ascii="Verdana" w:hAnsi="Verdana" w:cs="Arial"/>
          <w:sz w:val="24"/>
          <w:szCs w:val="24"/>
        </w:rPr>
        <w:t xml:space="preserve">It seems natural to base </w:t>
      </w:r>
      <w:r w:rsidR="002E560E">
        <w:rPr>
          <w:rFonts w:ascii="Verdana" w:hAnsi="Verdana" w:cs="Arial"/>
          <w:sz w:val="24"/>
          <w:szCs w:val="24"/>
        </w:rPr>
        <w:t>revenue estimate</w:t>
      </w:r>
      <w:r>
        <w:rPr>
          <w:rFonts w:ascii="Verdana" w:hAnsi="Verdana" w:cs="Arial"/>
          <w:sz w:val="24"/>
          <w:szCs w:val="24"/>
        </w:rPr>
        <w:t>s</w:t>
      </w:r>
      <w:r w:rsidR="002E560E">
        <w:rPr>
          <w:rFonts w:ascii="Verdana" w:hAnsi="Verdana" w:cs="Arial"/>
          <w:sz w:val="24"/>
          <w:szCs w:val="24"/>
        </w:rPr>
        <w:t xml:space="preserve"> on the “</w:t>
      </w:r>
      <w:r w:rsidR="002E560E" w:rsidRPr="00C86849">
        <w:rPr>
          <w:rFonts w:ascii="Verdana" w:eastAsia="Times New Roman" w:hAnsi="Verdana" w:cs="Times New Roman"/>
          <w:color w:val="000000"/>
          <w:sz w:val="24"/>
          <w:szCs w:val="24"/>
        </w:rPr>
        <w:t>actual remaining service</w:t>
      </w:r>
      <w:r>
        <w:rPr>
          <w:rFonts w:ascii="Verdana" w:eastAsia="Times New Roman" w:hAnsi="Verdana" w:cs="Times New Roman"/>
          <w:color w:val="000000"/>
          <w:sz w:val="24"/>
          <w:szCs w:val="24"/>
        </w:rPr>
        <w:t xml:space="preserve"> obligations to these customers,</w:t>
      </w:r>
      <w:r w:rsidR="002E560E">
        <w:rPr>
          <w:rFonts w:ascii="Verdana" w:eastAsia="Times New Roman" w:hAnsi="Verdana" w:cs="Times New Roman"/>
          <w:color w:val="000000"/>
          <w:sz w:val="24"/>
          <w:szCs w:val="24"/>
        </w:rPr>
        <w:t>”</w:t>
      </w:r>
      <w:r>
        <w:rPr>
          <w:rFonts w:ascii="Verdana" w:eastAsia="Times New Roman" w:hAnsi="Verdana" w:cs="Times New Roman"/>
          <w:color w:val="000000"/>
          <w:sz w:val="24"/>
          <w:szCs w:val="24"/>
        </w:rPr>
        <w:t xml:space="preserve"> after all, the last time we checked, revenue has to </w:t>
      </w:r>
      <w:r w:rsidR="009F67D3">
        <w:rPr>
          <w:rFonts w:ascii="Verdana" w:eastAsia="Times New Roman" w:hAnsi="Verdana" w:cs="Times New Roman"/>
          <w:color w:val="000000"/>
          <w:sz w:val="24"/>
          <w:szCs w:val="24"/>
        </w:rPr>
        <w:t xml:space="preserve">be </w:t>
      </w:r>
      <w:r>
        <w:rPr>
          <w:rFonts w:ascii="Verdana" w:eastAsia="Times New Roman" w:hAnsi="Verdana" w:cs="Times New Roman"/>
          <w:color w:val="000000"/>
          <w:sz w:val="24"/>
          <w:szCs w:val="24"/>
        </w:rPr>
        <w:t>earned.</w:t>
      </w:r>
      <w:r w:rsidR="009F67D3">
        <w:rPr>
          <w:rFonts w:ascii="Verdana" w:eastAsia="Times New Roman" w:hAnsi="Verdana" w:cs="Times New Roman"/>
          <w:color w:val="000000"/>
          <w:sz w:val="24"/>
          <w:szCs w:val="24"/>
        </w:rPr>
        <w:t xml:space="preserve">  So, w</w:t>
      </w:r>
      <w:r w:rsidR="002E560E">
        <w:rPr>
          <w:rFonts w:ascii="Verdana" w:eastAsia="Times New Roman" w:hAnsi="Verdana" w:cs="Times New Roman"/>
          <w:color w:val="000000"/>
          <w:sz w:val="24"/>
          <w:szCs w:val="24"/>
        </w:rPr>
        <w:t xml:space="preserve">hat was JCOM basing it </w:t>
      </w:r>
      <w:r w:rsidR="009F67D3">
        <w:rPr>
          <w:rFonts w:ascii="Verdana" w:eastAsia="Times New Roman" w:hAnsi="Verdana" w:cs="Times New Roman"/>
          <w:color w:val="000000"/>
          <w:sz w:val="24"/>
          <w:szCs w:val="24"/>
        </w:rPr>
        <w:t xml:space="preserve">on </w:t>
      </w:r>
      <w:r w:rsidR="002E560E">
        <w:rPr>
          <w:rFonts w:ascii="Verdana" w:eastAsia="Times New Roman" w:hAnsi="Verdana" w:cs="Times New Roman"/>
          <w:color w:val="000000"/>
          <w:sz w:val="24"/>
          <w:szCs w:val="24"/>
        </w:rPr>
        <w:t>beforehand?</w:t>
      </w:r>
    </w:p>
    <w:p w:rsidR="00AC1D0F" w:rsidRDefault="00AC1D0F" w:rsidP="00DA29E6">
      <w:pPr>
        <w:rPr>
          <w:rFonts w:ascii="Verdana" w:hAnsi="Verdana" w:cs="Arial"/>
          <w:sz w:val="24"/>
          <w:szCs w:val="24"/>
        </w:rPr>
      </w:pPr>
    </w:p>
    <w:p w:rsidR="00AC1D0F" w:rsidRDefault="002E560E" w:rsidP="00DA29E6">
      <w:pPr>
        <w:rPr>
          <w:rFonts w:ascii="Verdana" w:hAnsi="Verdana" w:cs="Arial"/>
          <w:sz w:val="24"/>
          <w:szCs w:val="24"/>
        </w:rPr>
      </w:pPr>
      <w:r>
        <w:rPr>
          <w:rFonts w:ascii="Verdana" w:hAnsi="Verdana" w:cs="Arial"/>
          <w:sz w:val="24"/>
          <w:szCs w:val="24"/>
        </w:rPr>
        <w:t>Of course, it is possible that the previous accounting information system was inadequate for the job.  In that case, the auditor SingerLewak LLP should not have blessed the internal control system in the 10-K.  An accounting information system that cannot produce accurate data for such a basic process does not deserve an unqualified opinion.  Such a system is pathetic.</w:t>
      </w:r>
    </w:p>
    <w:p w:rsidR="00803D1F" w:rsidRDefault="00803D1F" w:rsidP="00DA29E6">
      <w:pPr>
        <w:rPr>
          <w:rFonts w:ascii="Verdana" w:hAnsi="Verdana" w:cs="Arial"/>
          <w:sz w:val="24"/>
          <w:szCs w:val="24"/>
        </w:rPr>
      </w:pPr>
    </w:p>
    <w:p w:rsidR="00AC1D0F" w:rsidRDefault="002E560E" w:rsidP="00DA29E6">
      <w:pPr>
        <w:rPr>
          <w:rFonts w:ascii="Verdana" w:hAnsi="Verdana" w:cs="Arial"/>
          <w:sz w:val="24"/>
          <w:szCs w:val="24"/>
        </w:rPr>
      </w:pPr>
      <w:r w:rsidRPr="002E560E">
        <w:rPr>
          <w:rFonts w:ascii="Verdana" w:hAnsi="Verdana" w:cs="Arial"/>
          <w:sz w:val="24"/>
          <w:szCs w:val="24"/>
        </w:rPr>
        <w:t>The SEC sent a letter to JCOM on December 19, 2011.</w:t>
      </w:r>
      <w:r w:rsidR="00FC0CFA">
        <w:rPr>
          <w:rFonts w:ascii="Verdana" w:hAnsi="Verdana" w:cs="Arial"/>
          <w:sz w:val="24"/>
          <w:szCs w:val="24"/>
        </w:rPr>
        <w:t xml:space="preserve">  The SEC asked managers to explain why the actual remaining service obligations were not previously known.</w:t>
      </w:r>
      <w:r w:rsidRPr="002E560E">
        <w:rPr>
          <w:rFonts w:ascii="Verdana" w:hAnsi="Verdana" w:cs="Arial"/>
          <w:sz w:val="24"/>
          <w:szCs w:val="24"/>
        </w:rPr>
        <w:t xml:space="preserve">  </w:t>
      </w:r>
      <w:hyperlink r:id="rId9" w:history="1">
        <w:r w:rsidRPr="002E560E">
          <w:rPr>
            <w:rStyle w:val="Hyperlink"/>
            <w:rFonts w:ascii="Verdana" w:hAnsi="Verdana" w:cs="Arial"/>
            <w:sz w:val="24"/>
            <w:szCs w:val="24"/>
          </w:rPr>
          <w:t>The firm responded on January 3, 2012</w:t>
        </w:r>
      </w:hyperlink>
      <w:r w:rsidR="00FC0CFA">
        <w:rPr>
          <w:rFonts w:ascii="Verdana" w:hAnsi="Verdana" w:cs="Arial"/>
          <w:sz w:val="24"/>
          <w:szCs w:val="24"/>
        </w:rPr>
        <w:t xml:space="preserve"> (</w:t>
      </w:r>
      <w:r w:rsidR="00FC0CFA" w:rsidRPr="00FC0CFA">
        <w:rPr>
          <w:rFonts w:ascii="Verdana" w:hAnsi="Verdana" w:cs="Arial"/>
          <w:i/>
          <w:sz w:val="24"/>
          <w:szCs w:val="24"/>
        </w:rPr>
        <w:t>intertwined with our thoughts</w:t>
      </w:r>
      <w:r w:rsidR="00FC0CFA">
        <w:rPr>
          <w:rFonts w:ascii="Verdana" w:hAnsi="Verdana" w:cs="Arial"/>
          <w:sz w:val="24"/>
          <w:szCs w:val="24"/>
        </w:rPr>
        <w:t>)</w:t>
      </w:r>
      <w:r>
        <w:rPr>
          <w:rFonts w:ascii="Verdana" w:hAnsi="Verdana" w:cs="Arial"/>
          <w:sz w:val="24"/>
          <w:szCs w:val="24"/>
        </w:rPr>
        <w:t>:</w:t>
      </w:r>
    </w:p>
    <w:p w:rsidR="00FC0CFA" w:rsidRPr="00FC0CFA" w:rsidRDefault="00FC0CFA" w:rsidP="002E560E">
      <w:pPr>
        <w:shd w:val="clear" w:color="auto" w:fill="FFFFFF"/>
        <w:rPr>
          <w:rFonts w:ascii="Verdana" w:eastAsia="Times New Roman" w:hAnsi="Verdana" w:cs="Times New Roman"/>
          <w:color w:val="000000"/>
          <w:sz w:val="24"/>
          <w:szCs w:val="24"/>
          <w:u w:val="single"/>
        </w:rPr>
      </w:pPr>
    </w:p>
    <w:p w:rsidR="002E560E" w:rsidRPr="002E560E" w:rsidRDefault="002E560E" w:rsidP="00FC0CFA">
      <w:pPr>
        <w:shd w:val="clear" w:color="auto" w:fill="FFFFFF"/>
        <w:ind w:left="720"/>
        <w:rPr>
          <w:rFonts w:ascii="Verdana" w:eastAsia="Times New Roman" w:hAnsi="Verdana" w:cs="Times New Roman"/>
          <w:color w:val="000000"/>
          <w:sz w:val="24"/>
          <w:szCs w:val="24"/>
        </w:rPr>
      </w:pPr>
      <w:r w:rsidRPr="002E560E">
        <w:rPr>
          <w:rFonts w:ascii="Verdana" w:eastAsia="Times New Roman" w:hAnsi="Verdana" w:cs="Times New Roman"/>
          <w:color w:val="000000"/>
          <w:sz w:val="24"/>
          <w:szCs w:val="24"/>
        </w:rPr>
        <w:t>The actual remaining service obligations were not previously known because of inherent limitations in the company’s billing systems. </w:t>
      </w:r>
      <w:r w:rsidR="00FC0CFA">
        <w:rPr>
          <w:rFonts w:ascii="Verdana" w:eastAsia="Times New Roman" w:hAnsi="Verdana" w:cs="Times New Roman"/>
          <w:color w:val="000000"/>
          <w:sz w:val="24"/>
          <w:szCs w:val="24"/>
        </w:rPr>
        <w:t xml:space="preserve"> {</w:t>
      </w:r>
      <w:r w:rsidR="00FC0CFA" w:rsidRPr="00FC0CFA">
        <w:rPr>
          <w:rFonts w:ascii="Verdana" w:eastAsia="Times New Roman" w:hAnsi="Verdana" w:cs="Times New Roman"/>
          <w:i/>
          <w:color w:val="000000"/>
          <w:sz w:val="24"/>
          <w:szCs w:val="24"/>
        </w:rPr>
        <w:t>If so, does SAB 101 permit the revenue to be recognized?</w:t>
      </w:r>
      <w:r w:rsidR="00FC0CFA">
        <w:rPr>
          <w:rFonts w:ascii="Verdana" w:eastAsia="Times New Roman" w:hAnsi="Verdana" w:cs="Times New Roman"/>
          <w:color w:val="000000"/>
          <w:sz w:val="24"/>
          <w:szCs w:val="24"/>
        </w:rPr>
        <w:t>}</w:t>
      </w:r>
      <w:r w:rsidRPr="002E560E">
        <w:rPr>
          <w:rFonts w:ascii="Verdana" w:eastAsia="Times New Roman" w:hAnsi="Verdana" w:cs="Times New Roman"/>
          <w:color w:val="000000"/>
          <w:sz w:val="24"/>
          <w:szCs w:val="24"/>
        </w:rPr>
        <w:t> j2 began selling annual eFax® subscriptions early in its existence when it was a very small company with billing and collection systems less complete and integrated than those employed by j2 today.  Importantly, for the purpose of responding to your inquiry, the billing system was completely separate from the collection system and the two systems did not interact in a way that would permit the company to precisely calculate deferred revenue amounts with respect to specific customers.</w:t>
      </w:r>
      <w:r w:rsidR="00FC0CFA">
        <w:rPr>
          <w:rFonts w:ascii="Verdana" w:eastAsia="Times New Roman" w:hAnsi="Verdana" w:cs="Times New Roman"/>
          <w:color w:val="000000"/>
          <w:sz w:val="24"/>
          <w:szCs w:val="24"/>
        </w:rPr>
        <w:t xml:space="preserve">  {</w:t>
      </w:r>
      <w:r w:rsidR="00FC0CFA" w:rsidRPr="00FC0CFA">
        <w:rPr>
          <w:rFonts w:ascii="Verdana" w:eastAsia="Times New Roman" w:hAnsi="Verdana" w:cs="Times New Roman"/>
          <w:i/>
          <w:color w:val="000000"/>
          <w:sz w:val="24"/>
          <w:szCs w:val="24"/>
        </w:rPr>
        <w:t>Does this imply the balance sheets were inaccurate?</w:t>
      </w:r>
      <w:r w:rsidR="00FC0CFA">
        <w:rPr>
          <w:rFonts w:ascii="Verdana" w:eastAsia="Times New Roman" w:hAnsi="Verdana" w:cs="Times New Roman"/>
          <w:color w:val="000000"/>
          <w:sz w:val="24"/>
          <w:szCs w:val="24"/>
        </w:rPr>
        <w:t>}  …</w:t>
      </w:r>
    </w:p>
    <w:p w:rsidR="002E560E" w:rsidRPr="002E560E" w:rsidRDefault="002E560E" w:rsidP="00FC0CFA">
      <w:pPr>
        <w:shd w:val="clear" w:color="auto" w:fill="FFFFFF"/>
        <w:ind w:left="720"/>
        <w:rPr>
          <w:rFonts w:ascii="Verdana" w:eastAsia="Times New Roman" w:hAnsi="Verdana" w:cs="Times New Roman"/>
          <w:color w:val="000000"/>
          <w:sz w:val="24"/>
          <w:szCs w:val="24"/>
        </w:rPr>
      </w:pPr>
    </w:p>
    <w:p w:rsidR="002E560E" w:rsidRPr="002E560E" w:rsidRDefault="002E560E" w:rsidP="00FC0CFA">
      <w:pPr>
        <w:shd w:val="clear" w:color="auto" w:fill="FFFFFF"/>
        <w:ind w:left="720"/>
        <w:rPr>
          <w:rFonts w:ascii="Verdana" w:eastAsia="Times New Roman" w:hAnsi="Verdana" w:cs="Times New Roman"/>
          <w:color w:val="000000"/>
          <w:sz w:val="24"/>
          <w:szCs w:val="24"/>
        </w:rPr>
      </w:pPr>
      <w:r w:rsidRPr="002E560E">
        <w:rPr>
          <w:rFonts w:ascii="Verdana" w:eastAsia="Times New Roman" w:hAnsi="Verdana" w:cs="Times New Roman"/>
          <w:color w:val="000000"/>
          <w:sz w:val="24"/>
          <w:szCs w:val="24"/>
        </w:rPr>
        <w:t>However, until completion of significant system upgrades in Q1 2011, the company could not match the deferred revenue amount associated with a given customer at the time of early cancelation or conversion to a monthly account to that customer.  As a result, the company was required under its revenue recognition policy to develop an estimation processes to calculate future service obligations.  This estimation process, which was performed annually, relied on historical cancellation patterns of annual customers.</w:t>
      </w:r>
      <w:r w:rsidR="00FC0CFA">
        <w:rPr>
          <w:rFonts w:ascii="Verdana" w:eastAsia="Times New Roman" w:hAnsi="Verdana" w:cs="Times New Roman"/>
          <w:color w:val="000000"/>
          <w:sz w:val="24"/>
          <w:szCs w:val="24"/>
        </w:rPr>
        <w:t xml:space="preserve">  {</w:t>
      </w:r>
      <w:r w:rsidR="00FC0CFA" w:rsidRPr="00FC0CFA">
        <w:rPr>
          <w:rFonts w:ascii="Verdana" w:eastAsia="Times New Roman" w:hAnsi="Verdana" w:cs="Times New Roman"/>
          <w:i/>
          <w:color w:val="000000"/>
          <w:sz w:val="24"/>
          <w:szCs w:val="24"/>
        </w:rPr>
        <w:t>If they could not be tracked to customers, how does the investor know the reliability of this estimation procedure?</w:t>
      </w:r>
      <w:r w:rsidR="00FC0CFA">
        <w:rPr>
          <w:rFonts w:ascii="Verdana" w:eastAsia="Times New Roman" w:hAnsi="Verdana" w:cs="Times New Roman"/>
          <w:color w:val="000000"/>
          <w:sz w:val="24"/>
          <w:szCs w:val="24"/>
        </w:rPr>
        <w:t>}</w:t>
      </w:r>
    </w:p>
    <w:p w:rsidR="002E560E" w:rsidRPr="002E560E" w:rsidRDefault="002E560E" w:rsidP="00FC0CFA">
      <w:pPr>
        <w:shd w:val="clear" w:color="auto" w:fill="FFFFFF"/>
        <w:ind w:left="720"/>
        <w:rPr>
          <w:rFonts w:ascii="Verdana" w:eastAsia="Times New Roman" w:hAnsi="Verdana" w:cs="Times New Roman"/>
          <w:color w:val="000000"/>
          <w:sz w:val="24"/>
          <w:szCs w:val="24"/>
        </w:rPr>
      </w:pPr>
    </w:p>
    <w:p w:rsidR="002E560E" w:rsidRPr="002E560E" w:rsidRDefault="002E560E" w:rsidP="00FC0CFA">
      <w:pPr>
        <w:shd w:val="clear" w:color="auto" w:fill="FFFFFF"/>
        <w:ind w:left="720"/>
        <w:rPr>
          <w:rFonts w:ascii="Verdana" w:eastAsia="Times New Roman" w:hAnsi="Verdana" w:cs="Times New Roman"/>
          <w:color w:val="000000"/>
          <w:sz w:val="24"/>
          <w:szCs w:val="24"/>
        </w:rPr>
      </w:pPr>
      <w:r w:rsidRPr="002E560E">
        <w:rPr>
          <w:rFonts w:ascii="Verdana" w:eastAsia="Times New Roman" w:hAnsi="Verdana" w:cs="Times New Roman"/>
          <w:color w:val="000000"/>
          <w:sz w:val="24"/>
          <w:szCs w:val="24"/>
        </w:rPr>
        <w:t xml:space="preserve">The estimation process consisted of identifying annual subscribers that cancelled their service during the preceding calendar year and </w:t>
      </w:r>
      <w:r w:rsidRPr="002E560E">
        <w:rPr>
          <w:rFonts w:ascii="Verdana" w:eastAsia="Times New Roman" w:hAnsi="Verdana" w:cs="Times New Roman"/>
          <w:color w:val="000000"/>
          <w:sz w:val="24"/>
          <w:szCs w:val="24"/>
        </w:rPr>
        <w:lastRenderedPageBreak/>
        <w:t>determining how long each of them maintained their active subscription.  This provided an average remaining service obligation which the company then applied to all future annual signups throughout the year.  This cancellation data was the best source of information for j2’s estimation process at the time and the company believes it was very accurate.</w:t>
      </w:r>
      <w:r w:rsidR="00FC0CFA">
        <w:rPr>
          <w:rFonts w:ascii="Verdana" w:eastAsia="Times New Roman" w:hAnsi="Verdana" w:cs="Times New Roman"/>
          <w:color w:val="000000"/>
          <w:sz w:val="24"/>
          <w:szCs w:val="24"/>
        </w:rPr>
        <w:t xml:space="preserve">  {</w:t>
      </w:r>
      <w:r w:rsidR="00FC0CFA" w:rsidRPr="00FC0CFA">
        <w:rPr>
          <w:rFonts w:ascii="Verdana" w:eastAsia="Times New Roman" w:hAnsi="Verdana" w:cs="Times New Roman"/>
          <w:i/>
          <w:color w:val="000000"/>
          <w:sz w:val="24"/>
          <w:szCs w:val="24"/>
        </w:rPr>
        <w:t>based on what evidence?</w:t>
      </w:r>
      <w:r w:rsidR="00FC0CFA">
        <w:rPr>
          <w:rFonts w:ascii="Verdana" w:eastAsia="Times New Roman" w:hAnsi="Verdana" w:cs="Times New Roman"/>
          <w:color w:val="000000"/>
          <w:sz w:val="24"/>
          <w:szCs w:val="24"/>
        </w:rPr>
        <w:t>}</w:t>
      </w:r>
    </w:p>
    <w:p w:rsidR="002E560E" w:rsidRPr="002E560E" w:rsidRDefault="002E560E" w:rsidP="00FC0CFA">
      <w:pPr>
        <w:shd w:val="clear" w:color="auto" w:fill="FFFFFF"/>
        <w:ind w:left="720"/>
        <w:rPr>
          <w:rFonts w:ascii="Verdana" w:eastAsia="Times New Roman" w:hAnsi="Verdana" w:cs="Times New Roman"/>
          <w:color w:val="000000"/>
          <w:sz w:val="24"/>
          <w:szCs w:val="24"/>
        </w:rPr>
      </w:pPr>
    </w:p>
    <w:p w:rsidR="002E560E" w:rsidRPr="002E560E" w:rsidRDefault="002E560E" w:rsidP="00FC0CFA">
      <w:pPr>
        <w:shd w:val="clear" w:color="auto" w:fill="FFFFFF"/>
        <w:ind w:left="720"/>
        <w:rPr>
          <w:rFonts w:ascii="Verdana" w:eastAsia="Times New Roman" w:hAnsi="Verdana" w:cs="Times New Roman"/>
          <w:color w:val="000000"/>
          <w:sz w:val="24"/>
          <w:szCs w:val="24"/>
        </w:rPr>
      </w:pPr>
      <w:r w:rsidRPr="002E560E">
        <w:rPr>
          <w:rFonts w:ascii="Verdana" w:eastAsia="Times New Roman" w:hAnsi="Verdana" w:cs="Times New Roman"/>
          <w:color w:val="000000"/>
          <w:sz w:val="24"/>
          <w:szCs w:val="24"/>
        </w:rPr>
        <w:t>This estimation process was in place since the company’s inception.  However, j2 has grown significantly over the past 15 years in revenues, service offerings and customer base.  Today, j2 has more than two million paying customers and numerous different service offerings.  In response to the growing complexity of its business, the company has invested significant time and money to enhance its systems and fully integrate its billing and collection processes.  This development work was completed in Q1 2011, enabling j2 to move beyond its old estimation process and precisely determine its future service obligation to annual subscribers.</w:t>
      </w:r>
      <w:r w:rsidR="00FC0CFA">
        <w:rPr>
          <w:rFonts w:ascii="Verdana" w:eastAsia="Times New Roman" w:hAnsi="Verdana" w:cs="Times New Roman"/>
          <w:color w:val="000000"/>
          <w:sz w:val="24"/>
          <w:szCs w:val="24"/>
        </w:rPr>
        <w:t xml:space="preserve">  {</w:t>
      </w:r>
      <w:r w:rsidR="00FC0CFA" w:rsidRPr="00FC0CFA">
        <w:rPr>
          <w:rFonts w:ascii="Verdana" w:eastAsia="Times New Roman" w:hAnsi="Verdana" w:cs="Times New Roman"/>
          <w:i/>
          <w:color w:val="000000"/>
          <w:sz w:val="24"/>
          <w:szCs w:val="24"/>
        </w:rPr>
        <w:t>Sounds like the internal control system is now working but has been deficient over the past several years.</w:t>
      </w:r>
      <w:r w:rsidR="00FC0CFA">
        <w:rPr>
          <w:rFonts w:ascii="Verdana" w:eastAsia="Times New Roman" w:hAnsi="Verdana" w:cs="Times New Roman"/>
          <w:i/>
          <w:color w:val="000000"/>
          <w:sz w:val="24"/>
          <w:szCs w:val="24"/>
        </w:rPr>
        <w:t>}</w:t>
      </w:r>
    </w:p>
    <w:p w:rsidR="002E560E" w:rsidRPr="00FC0CFA" w:rsidRDefault="002E560E" w:rsidP="00DA29E6">
      <w:pPr>
        <w:rPr>
          <w:rFonts w:ascii="Verdana" w:hAnsi="Verdana" w:cs="Arial"/>
          <w:sz w:val="24"/>
          <w:szCs w:val="24"/>
        </w:rPr>
      </w:pPr>
    </w:p>
    <w:p w:rsidR="002E560E" w:rsidRDefault="00FC0CFA" w:rsidP="00DA29E6">
      <w:pPr>
        <w:rPr>
          <w:rFonts w:ascii="Verdana" w:hAnsi="Verdana" w:cs="Arial"/>
          <w:sz w:val="24"/>
          <w:szCs w:val="24"/>
        </w:rPr>
      </w:pPr>
      <w:r>
        <w:rPr>
          <w:rFonts w:ascii="Verdana" w:hAnsi="Verdana" w:cs="Arial"/>
          <w:sz w:val="24"/>
          <w:szCs w:val="24"/>
        </w:rPr>
        <w:t xml:space="preserve">The SEC responded with a wishy-washy </w:t>
      </w:r>
      <w:hyperlink r:id="rId10" w:history="1">
        <w:r w:rsidRPr="00FC0CFA">
          <w:rPr>
            <w:rStyle w:val="Hyperlink"/>
            <w:rFonts w:ascii="Verdana" w:hAnsi="Verdana" w:cs="Arial"/>
            <w:sz w:val="24"/>
            <w:szCs w:val="24"/>
          </w:rPr>
          <w:t>letter on January 6</w:t>
        </w:r>
      </w:hyperlink>
      <w:r>
        <w:rPr>
          <w:rFonts w:ascii="Verdana" w:hAnsi="Verdana" w:cs="Arial"/>
          <w:sz w:val="24"/>
          <w:szCs w:val="24"/>
        </w:rPr>
        <w:t xml:space="preserve">.  </w:t>
      </w:r>
      <w:r w:rsidR="00BD105E">
        <w:rPr>
          <w:rFonts w:ascii="Verdana" w:hAnsi="Verdana" w:cs="Arial"/>
          <w:sz w:val="24"/>
          <w:szCs w:val="24"/>
        </w:rPr>
        <w:t xml:space="preserve">Months have passed, </w:t>
      </w:r>
      <w:r w:rsidR="006441BD">
        <w:rPr>
          <w:rFonts w:ascii="Verdana" w:hAnsi="Verdana" w:cs="Arial"/>
          <w:sz w:val="24"/>
          <w:szCs w:val="24"/>
        </w:rPr>
        <w:t xml:space="preserve">but the SEC </w:t>
      </w:r>
      <w:r w:rsidR="00277971">
        <w:rPr>
          <w:rFonts w:ascii="Verdana" w:hAnsi="Verdana" w:cs="Arial"/>
          <w:sz w:val="24"/>
          <w:szCs w:val="24"/>
        </w:rPr>
        <w:t>seems to be</w:t>
      </w:r>
      <w:r w:rsidR="006441BD">
        <w:rPr>
          <w:rFonts w:ascii="Verdana" w:hAnsi="Verdana" w:cs="Arial"/>
          <w:sz w:val="24"/>
          <w:szCs w:val="24"/>
        </w:rPr>
        <w:t xml:space="preserve"> do</w:t>
      </w:r>
      <w:r w:rsidR="00277971">
        <w:rPr>
          <w:rFonts w:ascii="Verdana" w:hAnsi="Verdana" w:cs="Arial"/>
          <w:sz w:val="24"/>
          <w:szCs w:val="24"/>
        </w:rPr>
        <w:t>ing</w:t>
      </w:r>
      <w:r w:rsidR="006441BD">
        <w:rPr>
          <w:rFonts w:ascii="Verdana" w:hAnsi="Verdana" w:cs="Arial"/>
          <w:sz w:val="24"/>
          <w:szCs w:val="24"/>
        </w:rPr>
        <w:t xml:space="preserve"> nothing.  </w:t>
      </w:r>
      <w:r w:rsidR="00E95613">
        <w:rPr>
          <w:rFonts w:ascii="Verdana" w:hAnsi="Verdana" w:cs="Arial"/>
          <w:sz w:val="24"/>
          <w:szCs w:val="24"/>
        </w:rPr>
        <w:t xml:space="preserve">We find </w:t>
      </w:r>
      <w:r w:rsidR="00BD105E">
        <w:rPr>
          <w:rFonts w:ascii="Verdana" w:hAnsi="Verdana" w:cs="Arial"/>
          <w:sz w:val="24"/>
          <w:szCs w:val="24"/>
        </w:rPr>
        <w:t xml:space="preserve">JCOM’s </w:t>
      </w:r>
      <w:r w:rsidR="00E95613">
        <w:rPr>
          <w:rFonts w:ascii="Verdana" w:hAnsi="Verdana" w:cs="Arial"/>
          <w:sz w:val="24"/>
          <w:szCs w:val="24"/>
        </w:rPr>
        <w:t xml:space="preserve">explanation </w:t>
      </w:r>
      <w:r w:rsidR="00BD105E">
        <w:rPr>
          <w:rFonts w:ascii="Verdana" w:hAnsi="Verdana" w:cs="Arial"/>
          <w:sz w:val="24"/>
          <w:szCs w:val="24"/>
        </w:rPr>
        <w:t>b</w:t>
      </w:r>
      <w:r w:rsidR="00E95613">
        <w:rPr>
          <w:rFonts w:ascii="Verdana" w:hAnsi="Verdana" w:cs="Arial"/>
          <w:sz w:val="24"/>
          <w:szCs w:val="24"/>
        </w:rPr>
        <w:t xml:space="preserve">affling at best, </w:t>
      </w:r>
      <w:r w:rsidR="00277971">
        <w:rPr>
          <w:rFonts w:ascii="Verdana" w:hAnsi="Verdana" w:cs="Arial"/>
          <w:sz w:val="24"/>
          <w:szCs w:val="24"/>
        </w:rPr>
        <w:t>perhaps</w:t>
      </w:r>
      <w:r w:rsidR="00BD105E">
        <w:rPr>
          <w:rFonts w:ascii="Verdana" w:hAnsi="Verdana" w:cs="Arial"/>
          <w:sz w:val="24"/>
          <w:szCs w:val="24"/>
        </w:rPr>
        <w:t xml:space="preserve"> deceptive, </w:t>
      </w:r>
      <w:r w:rsidR="00E95613">
        <w:rPr>
          <w:rFonts w:ascii="Verdana" w:hAnsi="Verdana" w:cs="Arial"/>
          <w:sz w:val="24"/>
          <w:szCs w:val="24"/>
        </w:rPr>
        <w:t xml:space="preserve">and </w:t>
      </w:r>
      <w:r w:rsidR="00BD105E">
        <w:rPr>
          <w:rFonts w:ascii="Verdana" w:hAnsi="Verdana" w:cs="Arial"/>
          <w:sz w:val="24"/>
          <w:szCs w:val="24"/>
        </w:rPr>
        <w:t>expect</w:t>
      </w:r>
      <w:r w:rsidR="00E95613">
        <w:rPr>
          <w:rFonts w:ascii="Verdana" w:hAnsi="Verdana" w:cs="Arial"/>
          <w:sz w:val="24"/>
          <w:szCs w:val="24"/>
        </w:rPr>
        <w:t xml:space="preserve"> that the SEC would require restat</w:t>
      </w:r>
      <w:r w:rsidR="007511FC">
        <w:rPr>
          <w:rFonts w:ascii="Verdana" w:hAnsi="Verdana" w:cs="Arial"/>
          <w:sz w:val="24"/>
          <w:szCs w:val="24"/>
        </w:rPr>
        <w:t xml:space="preserve">ement of </w:t>
      </w:r>
      <w:r w:rsidR="00BD105E">
        <w:rPr>
          <w:rFonts w:ascii="Verdana" w:hAnsi="Verdana" w:cs="Arial"/>
          <w:sz w:val="24"/>
          <w:szCs w:val="24"/>
        </w:rPr>
        <w:t>previous</w:t>
      </w:r>
      <w:r w:rsidR="007511FC">
        <w:rPr>
          <w:rFonts w:ascii="Verdana" w:hAnsi="Verdana" w:cs="Arial"/>
          <w:sz w:val="24"/>
          <w:szCs w:val="24"/>
        </w:rPr>
        <w:t>ly issue</w:t>
      </w:r>
      <w:r w:rsidR="00277971">
        <w:rPr>
          <w:rFonts w:ascii="Verdana" w:hAnsi="Verdana" w:cs="Arial"/>
          <w:sz w:val="24"/>
          <w:szCs w:val="24"/>
        </w:rPr>
        <w:t>d</w:t>
      </w:r>
      <w:r w:rsidR="00BD105E">
        <w:rPr>
          <w:rFonts w:ascii="Verdana" w:hAnsi="Verdana" w:cs="Arial"/>
          <w:sz w:val="24"/>
          <w:szCs w:val="24"/>
        </w:rPr>
        <w:t xml:space="preserve"> reports.  After all, </w:t>
      </w:r>
      <w:r w:rsidR="007511FC" w:rsidRPr="007511FC">
        <w:rPr>
          <w:rFonts w:ascii="Verdana" w:hAnsi="Verdana" w:cs="Arial"/>
          <w:b/>
          <w:i/>
          <w:sz w:val="24"/>
          <w:szCs w:val="24"/>
        </w:rPr>
        <w:t>ASC 250 clearly specifies that, when correcting an error in prior period financial statements, the term “restatement” is to be used.</w:t>
      </w:r>
      <w:r w:rsidR="007511FC">
        <w:rPr>
          <w:rFonts w:ascii="Verdana" w:hAnsi="Verdana" w:cs="Arial"/>
          <w:sz w:val="24"/>
          <w:szCs w:val="24"/>
        </w:rPr>
        <w:t xml:space="preserve">  </w:t>
      </w:r>
      <w:r w:rsidR="00E95613">
        <w:rPr>
          <w:rFonts w:ascii="Verdana" w:hAnsi="Verdana" w:cs="Arial"/>
          <w:sz w:val="24"/>
          <w:szCs w:val="24"/>
        </w:rPr>
        <w:t>This assumes</w:t>
      </w:r>
      <w:r w:rsidR="007511FC">
        <w:rPr>
          <w:rFonts w:ascii="Verdana" w:hAnsi="Verdana" w:cs="Arial"/>
          <w:sz w:val="24"/>
          <w:szCs w:val="24"/>
        </w:rPr>
        <w:t>, of course,</w:t>
      </w:r>
      <w:r w:rsidR="00E95613">
        <w:rPr>
          <w:rFonts w:ascii="Verdana" w:hAnsi="Verdana" w:cs="Arial"/>
          <w:sz w:val="24"/>
          <w:szCs w:val="24"/>
        </w:rPr>
        <w:t xml:space="preserve"> that the internal control system would enable one to measure revenue accurately.</w:t>
      </w:r>
      <w:r w:rsidR="007511FC">
        <w:rPr>
          <w:rFonts w:ascii="Verdana" w:hAnsi="Verdana" w:cs="Arial"/>
          <w:sz w:val="24"/>
          <w:szCs w:val="24"/>
        </w:rPr>
        <w:t xml:space="preserve">  Also, the SEC should consider sharing this case with the PCAOB, as JCOM’s auditor needs to be held accountable as well.</w:t>
      </w:r>
    </w:p>
    <w:p w:rsidR="00FC0CFA" w:rsidRDefault="00FC0CFA" w:rsidP="00DA29E6">
      <w:pPr>
        <w:rPr>
          <w:rFonts w:ascii="Verdana" w:hAnsi="Verdana" w:cs="Arial"/>
          <w:sz w:val="24"/>
          <w:szCs w:val="24"/>
        </w:rPr>
      </w:pPr>
    </w:p>
    <w:p w:rsidR="00AC1D0F" w:rsidRDefault="00E95613" w:rsidP="00DA29E6">
      <w:pPr>
        <w:rPr>
          <w:rFonts w:ascii="Verdana" w:hAnsi="Verdana" w:cs="Arial"/>
          <w:sz w:val="24"/>
          <w:szCs w:val="24"/>
        </w:rPr>
      </w:pPr>
      <w:r>
        <w:rPr>
          <w:rFonts w:ascii="Verdana" w:hAnsi="Verdana" w:cs="Arial"/>
          <w:sz w:val="24"/>
          <w:szCs w:val="24"/>
        </w:rPr>
        <w:t>The SEC is getting soft in its old age.  We suggest that it get grumpy instead.</w:t>
      </w:r>
    </w:p>
    <w:p w:rsidR="005D7251" w:rsidRDefault="005D7251" w:rsidP="00DA29E6">
      <w:pPr>
        <w:rPr>
          <w:rFonts w:ascii="Verdana" w:hAnsi="Verdana" w:cs="Arial"/>
          <w:sz w:val="24"/>
          <w:szCs w:val="24"/>
        </w:rPr>
      </w:pPr>
    </w:p>
    <w:p w:rsidR="0050716A" w:rsidRPr="00EE3621" w:rsidRDefault="0050716A" w:rsidP="005679C2">
      <w:pPr>
        <w:pBdr>
          <w:bottom w:val="thinThickThinMediumGap" w:sz="18" w:space="0" w:color="auto"/>
        </w:pBdr>
        <w:rPr>
          <w:rFonts w:ascii="Verdana" w:hAnsi="Verdana"/>
          <w:sz w:val="24"/>
          <w:szCs w:val="24"/>
        </w:rPr>
      </w:pPr>
    </w:p>
    <w:p w:rsidR="005679C2" w:rsidRPr="00EE3621" w:rsidRDefault="005679C2" w:rsidP="005679C2">
      <w:pPr>
        <w:pStyle w:val="BodyText"/>
        <w:spacing w:line="240" w:lineRule="auto"/>
        <w:rPr>
          <w:rFonts w:ascii="Verdana" w:hAnsi="Verdana"/>
          <w:i/>
        </w:rPr>
      </w:pPr>
    </w:p>
    <w:p w:rsidR="005679C2" w:rsidRPr="00EE3621" w:rsidRDefault="005679C2" w:rsidP="005679C2">
      <w:pPr>
        <w:pStyle w:val="BodyText"/>
        <w:spacing w:line="240" w:lineRule="auto"/>
        <w:rPr>
          <w:rFonts w:ascii="Verdana" w:hAnsi="Verdana"/>
          <w:i/>
        </w:rPr>
      </w:pPr>
      <w:r w:rsidRPr="00EE3621">
        <w:rPr>
          <w:rFonts w:ascii="Verdana" w:hAnsi="Verdana"/>
          <w:i/>
        </w:rPr>
        <w:t xml:space="preserve">This essay reflects the opinion of the authors and not necessarily the opinions of The </w:t>
      </w:r>
      <w:smartTag w:uri="urn:schemas-microsoft-com:office:smarttags" w:element="PlaceName">
        <w:r w:rsidRPr="00EE3621">
          <w:rPr>
            <w:rFonts w:ascii="Verdana" w:hAnsi="Verdana"/>
            <w:i/>
          </w:rPr>
          <w:t>Pennsylvania</w:t>
        </w:r>
      </w:smartTag>
      <w:r w:rsidRPr="00EE3621">
        <w:rPr>
          <w:rFonts w:ascii="Verdana" w:hAnsi="Verdana"/>
          <w:i/>
        </w:rPr>
        <w:t xml:space="preserve"> </w:t>
      </w:r>
      <w:smartTag w:uri="urn:schemas-microsoft-com:office:smarttags" w:element="PlaceType">
        <w:r w:rsidRPr="00EE3621">
          <w:rPr>
            <w:rFonts w:ascii="Verdana" w:hAnsi="Verdana"/>
            <w:i/>
          </w:rPr>
          <w:t>State</w:t>
        </w:r>
      </w:smartTag>
      <w:r w:rsidRPr="00EE3621">
        <w:rPr>
          <w:rFonts w:ascii="Verdana" w:hAnsi="Verdana"/>
          <w:i/>
        </w:rPr>
        <w:t xml:space="preserve"> University, The American College, or Villanova University.</w:t>
      </w:r>
    </w:p>
    <w:p w:rsidR="005679C2" w:rsidRPr="00EE3621" w:rsidRDefault="005679C2" w:rsidP="005679C2">
      <w:pPr>
        <w:pBdr>
          <w:bottom w:val="thinThickThinMediumGap" w:sz="18" w:space="0" w:color="auto"/>
        </w:pBdr>
        <w:rPr>
          <w:rFonts w:ascii="Verdana" w:hAnsi="Verdana"/>
        </w:rPr>
      </w:pPr>
    </w:p>
    <w:p w:rsidR="005679C2" w:rsidRPr="00EE3621" w:rsidRDefault="005679C2" w:rsidP="005679C2">
      <w:pPr>
        <w:pStyle w:val="BodyTextIndent"/>
        <w:spacing w:after="0"/>
        <w:ind w:left="0"/>
        <w:rPr>
          <w:rFonts w:ascii="Verdana" w:hAnsi="Verdana"/>
          <w:sz w:val="24"/>
          <w:szCs w:val="24"/>
        </w:rPr>
      </w:pPr>
    </w:p>
    <w:sectPr w:rsidR="005679C2" w:rsidRPr="00EE3621" w:rsidSect="00626CA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9761D"/>
    <w:multiLevelType w:val="hybridMultilevel"/>
    <w:tmpl w:val="11AAF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8D1521"/>
    <w:multiLevelType w:val="multilevel"/>
    <w:tmpl w:val="6C6A8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6621E6"/>
    <w:multiLevelType w:val="hybridMultilevel"/>
    <w:tmpl w:val="4D52B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8C38D9"/>
    <w:multiLevelType w:val="multilevel"/>
    <w:tmpl w:val="46BE4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171F92"/>
    <w:multiLevelType w:val="hybridMultilevel"/>
    <w:tmpl w:val="BEE61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E405A1"/>
    <w:multiLevelType w:val="hybridMultilevel"/>
    <w:tmpl w:val="61182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F50598"/>
    <w:multiLevelType w:val="hybridMultilevel"/>
    <w:tmpl w:val="AE188082"/>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7">
    <w:nsid w:val="519574F0"/>
    <w:multiLevelType w:val="multilevel"/>
    <w:tmpl w:val="F5B23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BFA481A"/>
    <w:multiLevelType w:val="hybridMultilevel"/>
    <w:tmpl w:val="A4329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6CE35E2"/>
    <w:multiLevelType w:val="hybridMultilevel"/>
    <w:tmpl w:val="CAE691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6BCA792F"/>
    <w:multiLevelType w:val="multilevel"/>
    <w:tmpl w:val="BFE8AC2A"/>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1">
    <w:nsid w:val="7520270B"/>
    <w:multiLevelType w:val="hybridMultilevel"/>
    <w:tmpl w:val="0A0E05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7A12ACC"/>
    <w:multiLevelType w:val="hybridMultilevel"/>
    <w:tmpl w:val="4156C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2"/>
  </w:num>
  <w:num w:numId="4">
    <w:abstractNumId w:val="0"/>
  </w:num>
  <w:num w:numId="5">
    <w:abstractNumId w:val="12"/>
  </w:num>
  <w:num w:numId="6">
    <w:abstractNumId w:val="5"/>
  </w:num>
  <w:num w:numId="7">
    <w:abstractNumId w:val="6"/>
  </w:num>
  <w:num w:numId="8">
    <w:abstractNumId w:val="3"/>
  </w:num>
  <w:num w:numId="9">
    <w:abstractNumId w:val="10"/>
  </w:num>
  <w:num w:numId="10">
    <w:abstractNumId w:val="1"/>
  </w:num>
  <w:num w:numId="11">
    <w:abstractNumId w:val="9"/>
  </w:num>
  <w:num w:numId="12">
    <w:abstractNumId w:val="11"/>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3A627B"/>
    <w:rsid w:val="00010F03"/>
    <w:rsid w:val="0001223C"/>
    <w:rsid w:val="00013A1E"/>
    <w:rsid w:val="00014F46"/>
    <w:rsid w:val="00026722"/>
    <w:rsid w:val="00030FFC"/>
    <w:rsid w:val="00032D82"/>
    <w:rsid w:val="000334D4"/>
    <w:rsid w:val="000374C2"/>
    <w:rsid w:val="00045F9C"/>
    <w:rsid w:val="00052C5C"/>
    <w:rsid w:val="00070A9F"/>
    <w:rsid w:val="00073362"/>
    <w:rsid w:val="00081916"/>
    <w:rsid w:val="0008518C"/>
    <w:rsid w:val="00093316"/>
    <w:rsid w:val="000A3CC5"/>
    <w:rsid w:val="000A52AA"/>
    <w:rsid w:val="000A68B5"/>
    <w:rsid w:val="000B0974"/>
    <w:rsid w:val="000C0DAE"/>
    <w:rsid w:val="000C6302"/>
    <w:rsid w:val="000D246D"/>
    <w:rsid w:val="000E2E4F"/>
    <w:rsid w:val="000F42DF"/>
    <w:rsid w:val="00124D4C"/>
    <w:rsid w:val="0013578B"/>
    <w:rsid w:val="001545B1"/>
    <w:rsid w:val="00162F11"/>
    <w:rsid w:val="00166500"/>
    <w:rsid w:val="0016737C"/>
    <w:rsid w:val="001823C4"/>
    <w:rsid w:val="001978FB"/>
    <w:rsid w:val="001A35D6"/>
    <w:rsid w:val="001A4C91"/>
    <w:rsid w:val="001A523B"/>
    <w:rsid w:val="001A5685"/>
    <w:rsid w:val="001A63DD"/>
    <w:rsid w:val="001B2AE8"/>
    <w:rsid w:val="001B3448"/>
    <w:rsid w:val="001B54FF"/>
    <w:rsid w:val="001C3948"/>
    <w:rsid w:val="001C5C9F"/>
    <w:rsid w:val="001C7FFA"/>
    <w:rsid w:val="001E66C7"/>
    <w:rsid w:val="0020134E"/>
    <w:rsid w:val="0020293D"/>
    <w:rsid w:val="002134E1"/>
    <w:rsid w:val="00215FD8"/>
    <w:rsid w:val="00217ACB"/>
    <w:rsid w:val="00223338"/>
    <w:rsid w:val="002254DA"/>
    <w:rsid w:val="002348DA"/>
    <w:rsid w:val="00264576"/>
    <w:rsid w:val="00277971"/>
    <w:rsid w:val="00285D9E"/>
    <w:rsid w:val="002921E3"/>
    <w:rsid w:val="002954BA"/>
    <w:rsid w:val="002A35CE"/>
    <w:rsid w:val="002B0A9D"/>
    <w:rsid w:val="002B29A5"/>
    <w:rsid w:val="002C3E0F"/>
    <w:rsid w:val="002C4F22"/>
    <w:rsid w:val="002E560E"/>
    <w:rsid w:val="002F1C18"/>
    <w:rsid w:val="00304385"/>
    <w:rsid w:val="00307529"/>
    <w:rsid w:val="0031191B"/>
    <w:rsid w:val="00315910"/>
    <w:rsid w:val="00316C9F"/>
    <w:rsid w:val="003259CE"/>
    <w:rsid w:val="00327520"/>
    <w:rsid w:val="0032760C"/>
    <w:rsid w:val="003614EA"/>
    <w:rsid w:val="00362844"/>
    <w:rsid w:val="00362D5A"/>
    <w:rsid w:val="00383ECD"/>
    <w:rsid w:val="00387AD3"/>
    <w:rsid w:val="0039366C"/>
    <w:rsid w:val="00394F33"/>
    <w:rsid w:val="003A627B"/>
    <w:rsid w:val="003B5481"/>
    <w:rsid w:val="003B5E31"/>
    <w:rsid w:val="003C2F39"/>
    <w:rsid w:val="003C370E"/>
    <w:rsid w:val="003D7633"/>
    <w:rsid w:val="003E2195"/>
    <w:rsid w:val="003F2470"/>
    <w:rsid w:val="003F6FEC"/>
    <w:rsid w:val="0040715F"/>
    <w:rsid w:val="00407FE7"/>
    <w:rsid w:val="00423830"/>
    <w:rsid w:val="00430CC2"/>
    <w:rsid w:val="00441449"/>
    <w:rsid w:val="00443813"/>
    <w:rsid w:val="00452131"/>
    <w:rsid w:val="004534FA"/>
    <w:rsid w:val="00460BD2"/>
    <w:rsid w:val="00465E6E"/>
    <w:rsid w:val="00471A13"/>
    <w:rsid w:val="004B03F1"/>
    <w:rsid w:val="004B57C9"/>
    <w:rsid w:val="004B6657"/>
    <w:rsid w:val="004D6BFC"/>
    <w:rsid w:val="004E7B9C"/>
    <w:rsid w:val="004F264C"/>
    <w:rsid w:val="004F5EB2"/>
    <w:rsid w:val="0050716A"/>
    <w:rsid w:val="005174B2"/>
    <w:rsid w:val="00520260"/>
    <w:rsid w:val="00520832"/>
    <w:rsid w:val="00534915"/>
    <w:rsid w:val="00547265"/>
    <w:rsid w:val="00566ACC"/>
    <w:rsid w:val="005679C2"/>
    <w:rsid w:val="00572989"/>
    <w:rsid w:val="0058071A"/>
    <w:rsid w:val="005877D3"/>
    <w:rsid w:val="00591E9C"/>
    <w:rsid w:val="005B3AFB"/>
    <w:rsid w:val="005B5C2A"/>
    <w:rsid w:val="005B6B3D"/>
    <w:rsid w:val="005B7BA1"/>
    <w:rsid w:val="005C5AA8"/>
    <w:rsid w:val="005C719F"/>
    <w:rsid w:val="005C7FC3"/>
    <w:rsid w:val="005D3219"/>
    <w:rsid w:val="005D548A"/>
    <w:rsid w:val="005D7251"/>
    <w:rsid w:val="005E40D4"/>
    <w:rsid w:val="005F2D0B"/>
    <w:rsid w:val="006062C5"/>
    <w:rsid w:val="00626CA8"/>
    <w:rsid w:val="00630BC8"/>
    <w:rsid w:val="006441BD"/>
    <w:rsid w:val="00654AEE"/>
    <w:rsid w:val="00671DE9"/>
    <w:rsid w:val="00680C26"/>
    <w:rsid w:val="00681673"/>
    <w:rsid w:val="006A2E31"/>
    <w:rsid w:val="006A7CF1"/>
    <w:rsid w:val="006B5167"/>
    <w:rsid w:val="006D40B4"/>
    <w:rsid w:val="006F298B"/>
    <w:rsid w:val="00701811"/>
    <w:rsid w:val="007069CC"/>
    <w:rsid w:val="00716893"/>
    <w:rsid w:val="0072083E"/>
    <w:rsid w:val="007240D6"/>
    <w:rsid w:val="007310E9"/>
    <w:rsid w:val="007325F6"/>
    <w:rsid w:val="00741CC4"/>
    <w:rsid w:val="007511FC"/>
    <w:rsid w:val="00753045"/>
    <w:rsid w:val="0075714F"/>
    <w:rsid w:val="00762F72"/>
    <w:rsid w:val="007935E9"/>
    <w:rsid w:val="00795EDC"/>
    <w:rsid w:val="007A54C7"/>
    <w:rsid w:val="007C2521"/>
    <w:rsid w:val="007D30EB"/>
    <w:rsid w:val="007D7854"/>
    <w:rsid w:val="007E274D"/>
    <w:rsid w:val="007E4E7D"/>
    <w:rsid w:val="00803D1F"/>
    <w:rsid w:val="00823AFE"/>
    <w:rsid w:val="00825D4D"/>
    <w:rsid w:val="00826541"/>
    <w:rsid w:val="008265E1"/>
    <w:rsid w:val="00830A0B"/>
    <w:rsid w:val="00834103"/>
    <w:rsid w:val="00847F54"/>
    <w:rsid w:val="00874083"/>
    <w:rsid w:val="0088295A"/>
    <w:rsid w:val="00885921"/>
    <w:rsid w:val="008B5E1A"/>
    <w:rsid w:val="008C691D"/>
    <w:rsid w:val="008D2071"/>
    <w:rsid w:val="008D3E2E"/>
    <w:rsid w:val="008D5DE7"/>
    <w:rsid w:val="008E0442"/>
    <w:rsid w:val="008E6D9D"/>
    <w:rsid w:val="00903B07"/>
    <w:rsid w:val="00907BCA"/>
    <w:rsid w:val="00930C78"/>
    <w:rsid w:val="00952126"/>
    <w:rsid w:val="009552D6"/>
    <w:rsid w:val="00974768"/>
    <w:rsid w:val="00975403"/>
    <w:rsid w:val="009A0991"/>
    <w:rsid w:val="009A26FD"/>
    <w:rsid w:val="009A40B3"/>
    <w:rsid w:val="009A6D9B"/>
    <w:rsid w:val="009B1A90"/>
    <w:rsid w:val="009D3CF4"/>
    <w:rsid w:val="009D772A"/>
    <w:rsid w:val="009E1F3E"/>
    <w:rsid w:val="009E5848"/>
    <w:rsid w:val="009F0A97"/>
    <w:rsid w:val="009F67D3"/>
    <w:rsid w:val="00A02E34"/>
    <w:rsid w:val="00A03ADF"/>
    <w:rsid w:val="00A06B5A"/>
    <w:rsid w:val="00A11437"/>
    <w:rsid w:val="00A14E6E"/>
    <w:rsid w:val="00A245BF"/>
    <w:rsid w:val="00A2604A"/>
    <w:rsid w:val="00A35333"/>
    <w:rsid w:val="00A501CA"/>
    <w:rsid w:val="00A56122"/>
    <w:rsid w:val="00A623DC"/>
    <w:rsid w:val="00A759EC"/>
    <w:rsid w:val="00A94ED1"/>
    <w:rsid w:val="00AB5DEF"/>
    <w:rsid w:val="00AC081E"/>
    <w:rsid w:val="00AC1D0F"/>
    <w:rsid w:val="00AC2930"/>
    <w:rsid w:val="00AC7090"/>
    <w:rsid w:val="00AD6616"/>
    <w:rsid w:val="00AE44C0"/>
    <w:rsid w:val="00B11CE6"/>
    <w:rsid w:val="00B12949"/>
    <w:rsid w:val="00B20912"/>
    <w:rsid w:val="00B20A52"/>
    <w:rsid w:val="00B22B1B"/>
    <w:rsid w:val="00B5636F"/>
    <w:rsid w:val="00B7722F"/>
    <w:rsid w:val="00B77990"/>
    <w:rsid w:val="00B77E24"/>
    <w:rsid w:val="00B80F61"/>
    <w:rsid w:val="00B848D8"/>
    <w:rsid w:val="00B8681F"/>
    <w:rsid w:val="00B91B36"/>
    <w:rsid w:val="00B91C46"/>
    <w:rsid w:val="00B92AA2"/>
    <w:rsid w:val="00BB6235"/>
    <w:rsid w:val="00BC1DB8"/>
    <w:rsid w:val="00BC33AB"/>
    <w:rsid w:val="00BD105E"/>
    <w:rsid w:val="00BD1C30"/>
    <w:rsid w:val="00BD4859"/>
    <w:rsid w:val="00BD5A48"/>
    <w:rsid w:val="00BE5852"/>
    <w:rsid w:val="00BF4BFB"/>
    <w:rsid w:val="00BF4CC9"/>
    <w:rsid w:val="00BF663F"/>
    <w:rsid w:val="00C02A18"/>
    <w:rsid w:val="00C0326A"/>
    <w:rsid w:val="00C04A39"/>
    <w:rsid w:val="00C06BB5"/>
    <w:rsid w:val="00C06C9A"/>
    <w:rsid w:val="00C14B68"/>
    <w:rsid w:val="00C17B64"/>
    <w:rsid w:val="00C210AD"/>
    <w:rsid w:val="00C25606"/>
    <w:rsid w:val="00C265D4"/>
    <w:rsid w:val="00C40DDB"/>
    <w:rsid w:val="00C7386E"/>
    <w:rsid w:val="00C73BEA"/>
    <w:rsid w:val="00C83508"/>
    <w:rsid w:val="00C84E3D"/>
    <w:rsid w:val="00C86325"/>
    <w:rsid w:val="00C86849"/>
    <w:rsid w:val="00CA4259"/>
    <w:rsid w:val="00CB2C19"/>
    <w:rsid w:val="00CB7FD0"/>
    <w:rsid w:val="00CC4965"/>
    <w:rsid w:val="00CC7B0A"/>
    <w:rsid w:val="00CD0E7F"/>
    <w:rsid w:val="00CD27FE"/>
    <w:rsid w:val="00CE1F6F"/>
    <w:rsid w:val="00CF567E"/>
    <w:rsid w:val="00CF5BF7"/>
    <w:rsid w:val="00D005BC"/>
    <w:rsid w:val="00D04C30"/>
    <w:rsid w:val="00D10237"/>
    <w:rsid w:val="00D15B07"/>
    <w:rsid w:val="00D42D55"/>
    <w:rsid w:val="00D546A3"/>
    <w:rsid w:val="00D54EF4"/>
    <w:rsid w:val="00D552C9"/>
    <w:rsid w:val="00D61215"/>
    <w:rsid w:val="00D66F58"/>
    <w:rsid w:val="00D72331"/>
    <w:rsid w:val="00D92C5E"/>
    <w:rsid w:val="00D96CB6"/>
    <w:rsid w:val="00DA29E6"/>
    <w:rsid w:val="00DB5864"/>
    <w:rsid w:val="00DC6A24"/>
    <w:rsid w:val="00DE470E"/>
    <w:rsid w:val="00DE58F7"/>
    <w:rsid w:val="00DF0BCE"/>
    <w:rsid w:val="00E0278C"/>
    <w:rsid w:val="00E0530E"/>
    <w:rsid w:val="00E12A7D"/>
    <w:rsid w:val="00E13EA4"/>
    <w:rsid w:val="00E26ACF"/>
    <w:rsid w:val="00E318EE"/>
    <w:rsid w:val="00E656F7"/>
    <w:rsid w:val="00E6651F"/>
    <w:rsid w:val="00E70E2E"/>
    <w:rsid w:val="00E81155"/>
    <w:rsid w:val="00E85258"/>
    <w:rsid w:val="00E95613"/>
    <w:rsid w:val="00EA73DD"/>
    <w:rsid w:val="00EB4D4A"/>
    <w:rsid w:val="00EB75E6"/>
    <w:rsid w:val="00ED3830"/>
    <w:rsid w:val="00ED52CA"/>
    <w:rsid w:val="00ED708A"/>
    <w:rsid w:val="00EE3621"/>
    <w:rsid w:val="00EE62E4"/>
    <w:rsid w:val="00EE6A29"/>
    <w:rsid w:val="00EF3CB2"/>
    <w:rsid w:val="00F0140C"/>
    <w:rsid w:val="00F37BB7"/>
    <w:rsid w:val="00F44852"/>
    <w:rsid w:val="00F454E5"/>
    <w:rsid w:val="00F61B68"/>
    <w:rsid w:val="00F66731"/>
    <w:rsid w:val="00F7237C"/>
    <w:rsid w:val="00F740AF"/>
    <w:rsid w:val="00F7596C"/>
    <w:rsid w:val="00F759EE"/>
    <w:rsid w:val="00F8568F"/>
    <w:rsid w:val="00F93625"/>
    <w:rsid w:val="00F94C21"/>
    <w:rsid w:val="00F95297"/>
    <w:rsid w:val="00FA305E"/>
    <w:rsid w:val="00FB352F"/>
    <w:rsid w:val="00FB7F87"/>
    <w:rsid w:val="00FC0CFA"/>
    <w:rsid w:val="00FC520E"/>
    <w:rsid w:val="00FC5D0E"/>
    <w:rsid w:val="00FD0D5E"/>
    <w:rsid w:val="00FD2CF4"/>
    <w:rsid w:val="00FE70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CA8"/>
  </w:style>
  <w:style w:type="paragraph" w:styleId="Heading1">
    <w:name w:val="heading 1"/>
    <w:basedOn w:val="Normal"/>
    <w:next w:val="Normal"/>
    <w:link w:val="Heading1Char"/>
    <w:uiPriority w:val="9"/>
    <w:qFormat/>
    <w:rsid w:val="00FB352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B12949"/>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link w:val="Heading5Char"/>
    <w:uiPriority w:val="9"/>
    <w:qFormat/>
    <w:rsid w:val="00AB5DEF"/>
    <w:pPr>
      <w:spacing w:before="100" w:beforeAutospacing="1" w:after="100" w:afterAutospacing="1"/>
      <w:outlineLvl w:val="4"/>
    </w:pPr>
    <w:rPr>
      <w:rFonts w:ascii="Times New Roman" w:eastAsia="Times New Roman" w:hAnsi="Times New Roman" w:cs="Times New Roman"/>
      <w:b/>
      <w:bCs/>
      <w:sz w:val="20"/>
      <w:szCs w:val="20"/>
    </w:rPr>
  </w:style>
  <w:style w:type="paragraph" w:styleId="Heading6">
    <w:name w:val="heading 6"/>
    <w:basedOn w:val="Normal"/>
    <w:next w:val="Normal"/>
    <w:link w:val="Heading6Char"/>
    <w:uiPriority w:val="9"/>
    <w:semiHidden/>
    <w:unhideWhenUsed/>
    <w:qFormat/>
    <w:rsid w:val="00B1294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1C46"/>
    <w:pPr>
      <w:ind w:left="720"/>
      <w:contextualSpacing/>
    </w:pPr>
  </w:style>
  <w:style w:type="paragraph" w:styleId="BalloonText">
    <w:name w:val="Balloon Text"/>
    <w:basedOn w:val="Normal"/>
    <w:link w:val="BalloonTextChar"/>
    <w:uiPriority w:val="99"/>
    <w:semiHidden/>
    <w:unhideWhenUsed/>
    <w:rsid w:val="00B91C46"/>
    <w:rPr>
      <w:rFonts w:ascii="Tahoma" w:hAnsi="Tahoma" w:cs="Tahoma"/>
      <w:sz w:val="16"/>
      <w:szCs w:val="16"/>
    </w:rPr>
  </w:style>
  <w:style w:type="character" w:customStyle="1" w:styleId="BalloonTextChar">
    <w:name w:val="Balloon Text Char"/>
    <w:basedOn w:val="DefaultParagraphFont"/>
    <w:link w:val="BalloonText"/>
    <w:uiPriority w:val="99"/>
    <w:semiHidden/>
    <w:rsid w:val="00B91C46"/>
    <w:rPr>
      <w:rFonts w:ascii="Tahoma" w:hAnsi="Tahoma" w:cs="Tahoma"/>
      <w:sz w:val="16"/>
      <w:szCs w:val="16"/>
    </w:rPr>
  </w:style>
  <w:style w:type="character" w:styleId="CommentReference">
    <w:name w:val="annotation reference"/>
    <w:basedOn w:val="DefaultParagraphFont"/>
    <w:uiPriority w:val="99"/>
    <w:semiHidden/>
    <w:unhideWhenUsed/>
    <w:rsid w:val="005679C2"/>
    <w:rPr>
      <w:sz w:val="16"/>
      <w:szCs w:val="16"/>
    </w:rPr>
  </w:style>
  <w:style w:type="paragraph" w:styleId="CommentText">
    <w:name w:val="annotation text"/>
    <w:basedOn w:val="Normal"/>
    <w:link w:val="CommentTextChar"/>
    <w:uiPriority w:val="99"/>
    <w:semiHidden/>
    <w:unhideWhenUsed/>
    <w:rsid w:val="005679C2"/>
    <w:rPr>
      <w:sz w:val="20"/>
      <w:szCs w:val="20"/>
    </w:rPr>
  </w:style>
  <w:style w:type="character" w:customStyle="1" w:styleId="CommentTextChar">
    <w:name w:val="Comment Text Char"/>
    <w:basedOn w:val="DefaultParagraphFont"/>
    <w:link w:val="CommentText"/>
    <w:uiPriority w:val="99"/>
    <w:semiHidden/>
    <w:rsid w:val="005679C2"/>
    <w:rPr>
      <w:sz w:val="20"/>
      <w:szCs w:val="20"/>
    </w:rPr>
  </w:style>
  <w:style w:type="paragraph" w:styleId="CommentSubject">
    <w:name w:val="annotation subject"/>
    <w:basedOn w:val="CommentText"/>
    <w:next w:val="CommentText"/>
    <w:link w:val="CommentSubjectChar"/>
    <w:uiPriority w:val="99"/>
    <w:semiHidden/>
    <w:unhideWhenUsed/>
    <w:rsid w:val="005679C2"/>
    <w:rPr>
      <w:b/>
      <w:bCs/>
    </w:rPr>
  </w:style>
  <w:style w:type="character" w:customStyle="1" w:styleId="CommentSubjectChar">
    <w:name w:val="Comment Subject Char"/>
    <w:basedOn w:val="CommentTextChar"/>
    <w:link w:val="CommentSubject"/>
    <w:uiPriority w:val="99"/>
    <w:semiHidden/>
    <w:rsid w:val="005679C2"/>
    <w:rPr>
      <w:b/>
      <w:bCs/>
    </w:rPr>
  </w:style>
  <w:style w:type="paragraph" w:styleId="BodyText">
    <w:name w:val="Body Text"/>
    <w:basedOn w:val="Normal"/>
    <w:link w:val="BodyTextChar"/>
    <w:rsid w:val="005679C2"/>
    <w:pPr>
      <w:spacing w:line="48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5679C2"/>
    <w:rPr>
      <w:rFonts w:ascii="Times New Roman" w:eastAsia="Times New Roman" w:hAnsi="Times New Roman" w:cs="Times New Roman"/>
      <w:sz w:val="24"/>
      <w:szCs w:val="20"/>
    </w:rPr>
  </w:style>
  <w:style w:type="paragraph" w:styleId="BodyTextIndent">
    <w:name w:val="Body Text Indent"/>
    <w:basedOn w:val="Normal"/>
    <w:link w:val="BodyTextIndentChar"/>
    <w:rsid w:val="005679C2"/>
    <w:pPr>
      <w:spacing w:after="120"/>
      <w:ind w:left="36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5679C2"/>
    <w:rPr>
      <w:rFonts w:ascii="Times New Roman" w:eastAsia="Times New Roman" w:hAnsi="Times New Roman" w:cs="Times New Roman"/>
      <w:sz w:val="20"/>
      <w:szCs w:val="20"/>
    </w:rPr>
  </w:style>
  <w:style w:type="character" w:styleId="Hyperlink">
    <w:name w:val="Hyperlink"/>
    <w:basedOn w:val="DefaultParagraphFont"/>
    <w:uiPriority w:val="99"/>
    <w:unhideWhenUsed/>
    <w:rsid w:val="0008518C"/>
    <w:rPr>
      <w:color w:val="0000FF" w:themeColor="hyperlink"/>
      <w:u w:val="single"/>
    </w:rPr>
  </w:style>
  <w:style w:type="character" w:styleId="FollowedHyperlink">
    <w:name w:val="FollowedHyperlink"/>
    <w:basedOn w:val="DefaultParagraphFont"/>
    <w:uiPriority w:val="99"/>
    <w:semiHidden/>
    <w:unhideWhenUsed/>
    <w:rsid w:val="00B22B1B"/>
    <w:rPr>
      <w:color w:val="800080" w:themeColor="followedHyperlink"/>
      <w:u w:val="single"/>
    </w:rPr>
  </w:style>
  <w:style w:type="character" w:customStyle="1" w:styleId="Heading5Char">
    <w:name w:val="Heading 5 Char"/>
    <w:basedOn w:val="DefaultParagraphFont"/>
    <w:link w:val="Heading5"/>
    <w:uiPriority w:val="9"/>
    <w:rsid w:val="00AB5DEF"/>
    <w:rPr>
      <w:rFonts w:ascii="Times New Roman" w:eastAsia="Times New Roman" w:hAnsi="Times New Roman" w:cs="Times New Roman"/>
      <w:b/>
      <w:bCs/>
      <w:sz w:val="20"/>
      <w:szCs w:val="20"/>
    </w:rPr>
  </w:style>
  <w:style w:type="paragraph" w:styleId="NormalWeb">
    <w:name w:val="Normal (Web)"/>
    <w:basedOn w:val="Normal"/>
    <w:uiPriority w:val="99"/>
    <w:unhideWhenUsed/>
    <w:rsid w:val="00AB5DEF"/>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A29E6"/>
  </w:style>
  <w:style w:type="character" w:styleId="Emphasis">
    <w:name w:val="Emphasis"/>
    <w:basedOn w:val="DefaultParagraphFont"/>
    <w:uiPriority w:val="20"/>
    <w:qFormat/>
    <w:rsid w:val="00DA29E6"/>
    <w:rPr>
      <w:i/>
      <w:iCs/>
    </w:rPr>
  </w:style>
  <w:style w:type="character" w:customStyle="1" w:styleId="Heading1Char">
    <w:name w:val="Heading 1 Char"/>
    <w:basedOn w:val="DefaultParagraphFont"/>
    <w:link w:val="Heading1"/>
    <w:uiPriority w:val="9"/>
    <w:rsid w:val="00FB352F"/>
    <w:rPr>
      <w:rFonts w:asciiTheme="majorHAnsi" w:eastAsiaTheme="majorEastAsia" w:hAnsiTheme="majorHAnsi" w:cstheme="majorBidi"/>
      <w:b/>
      <w:bCs/>
      <w:color w:val="365F91" w:themeColor="accent1" w:themeShade="BF"/>
      <w:sz w:val="28"/>
      <w:szCs w:val="28"/>
    </w:rPr>
  </w:style>
  <w:style w:type="character" w:customStyle="1" w:styleId="name">
    <w:name w:val="name"/>
    <w:basedOn w:val="DefaultParagraphFont"/>
    <w:rsid w:val="00FB352F"/>
  </w:style>
  <w:style w:type="character" w:customStyle="1" w:styleId="Heading3Char">
    <w:name w:val="Heading 3 Char"/>
    <w:basedOn w:val="DefaultParagraphFont"/>
    <w:link w:val="Heading3"/>
    <w:uiPriority w:val="9"/>
    <w:semiHidden/>
    <w:rsid w:val="00B12949"/>
    <w:rPr>
      <w:rFonts w:asciiTheme="majorHAnsi" w:eastAsiaTheme="majorEastAsia" w:hAnsiTheme="majorHAnsi" w:cstheme="majorBidi"/>
      <w:b/>
      <w:bCs/>
      <w:color w:val="4F81BD" w:themeColor="accent1"/>
    </w:rPr>
  </w:style>
  <w:style w:type="character" w:customStyle="1" w:styleId="Heading6Char">
    <w:name w:val="Heading 6 Char"/>
    <w:basedOn w:val="DefaultParagraphFont"/>
    <w:link w:val="Heading6"/>
    <w:uiPriority w:val="9"/>
    <w:semiHidden/>
    <w:rsid w:val="00B12949"/>
    <w:rPr>
      <w:rFonts w:asciiTheme="majorHAnsi" w:eastAsiaTheme="majorEastAsia" w:hAnsiTheme="majorHAnsi" w:cstheme="majorBidi"/>
      <w:i/>
      <w:iCs/>
      <w:color w:val="243F60" w:themeColor="accent1" w:themeShade="7F"/>
    </w:rPr>
  </w:style>
  <w:style w:type="table" w:styleId="TableGrid">
    <w:name w:val="Table Grid"/>
    <w:basedOn w:val="TableNormal"/>
    <w:uiPriority w:val="59"/>
    <w:rsid w:val="00F759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42635542">
      <w:bodyDiv w:val="1"/>
      <w:marLeft w:val="0"/>
      <w:marRight w:val="0"/>
      <w:marTop w:val="0"/>
      <w:marBottom w:val="0"/>
      <w:divBdr>
        <w:top w:val="none" w:sz="0" w:space="0" w:color="auto"/>
        <w:left w:val="none" w:sz="0" w:space="0" w:color="auto"/>
        <w:bottom w:val="none" w:sz="0" w:space="0" w:color="auto"/>
        <w:right w:val="none" w:sz="0" w:space="0" w:color="auto"/>
      </w:divBdr>
      <w:divsChild>
        <w:div w:id="578565408">
          <w:marLeft w:val="0"/>
          <w:marRight w:val="0"/>
          <w:marTop w:val="0"/>
          <w:marBottom w:val="0"/>
          <w:divBdr>
            <w:top w:val="none" w:sz="0" w:space="0" w:color="auto"/>
            <w:left w:val="none" w:sz="0" w:space="0" w:color="auto"/>
            <w:bottom w:val="none" w:sz="0" w:space="0" w:color="auto"/>
            <w:right w:val="none" w:sz="0" w:space="0" w:color="auto"/>
          </w:divBdr>
          <w:divsChild>
            <w:div w:id="851334056">
              <w:marLeft w:val="0"/>
              <w:marRight w:val="0"/>
              <w:marTop w:val="0"/>
              <w:marBottom w:val="0"/>
              <w:divBdr>
                <w:top w:val="none" w:sz="0" w:space="0" w:color="auto"/>
                <w:left w:val="none" w:sz="0" w:space="0" w:color="auto"/>
                <w:bottom w:val="none" w:sz="0" w:space="0" w:color="auto"/>
                <w:right w:val="none" w:sz="0" w:space="0" w:color="auto"/>
              </w:divBdr>
            </w:div>
            <w:div w:id="1646859820">
              <w:marLeft w:val="0"/>
              <w:marRight w:val="0"/>
              <w:marTop w:val="0"/>
              <w:marBottom w:val="0"/>
              <w:divBdr>
                <w:top w:val="none" w:sz="0" w:space="0" w:color="auto"/>
                <w:left w:val="none" w:sz="0" w:space="0" w:color="auto"/>
                <w:bottom w:val="none" w:sz="0" w:space="0" w:color="auto"/>
                <w:right w:val="none" w:sz="0" w:space="0" w:color="auto"/>
              </w:divBdr>
            </w:div>
          </w:divsChild>
        </w:div>
        <w:div w:id="591358026">
          <w:marLeft w:val="0"/>
          <w:marRight w:val="0"/>
          <w:marTop w:val="0"/>
          <w:marBottom w:val="0"/>
          <w:divBdr>
            <w:top w:val="none" w:sz="0" w:space="0" w:color="auto"/>
            <w:left w:val="none" w:sz="0" w:space="0" w:color="auto"/>
            <w:bottom w:val="none" w:sz="0" w:space="0" w:color="auto"/>
            <w:right w:val="none" w:sz="0" w:space="0" w:color="auto"/>
          </w:divBdr>
        </w:div>
        <w:div w:id="940146347">
          <w:marLeft w:val="0"/>
          <w:marRight w:val="0"/>
          <w:marTop w:val="0"/>
          <w:marBottom w:val="0"/>
          <w:divBdr>
            <w:top w:val="none" w:sz="0" w:space="0" w:color="auto"/>
            <w:left w:val="none" w:sz="0" w:space="0" w:color="auto"/>
            <w:bottom w:val="none" w:sz="0" w:space="0" w:color="auto"/>
            <w:right w:val="none" w:sz="0" w:space="0" w:color="auto"/>
          </w:divBdr>
          <w:divsChild>
            <w:div w:id="1940141574">
              <w:marLeft w:val="0"/>
              <w:marRight w:val="0"/>
              <w:marTop w:val="0"/>
              <w:marBottom w:val="0"/>
              <w:divBdr>
                <w:top w:val="none" w:sz="0" w:space="0" w:color="auto"/>
                <w:left w:val="none" w:sz="0" w:space="0" w:color="auto"/>
                <w:bottom w:val="none" w:sz="0" w:space="0" w:color="auto"/>
                <w:right w:val="none" w:sz="0" w:space="0" w:color="auto"/>
              </w:divBdr>
            </w:div>
            <w:div w:id="311061547">
              <w:marLeft w:val="0"/>
              <w:marRight w:val="0"/>
              <w:marTop w:val="0"/>
              <w:marBottom w:val="0"/>
              <w:divBdr>
                <w:top w:val="none" w:sz="0" w:space="0" w:color="auto"/>
                <w:left w:val="none" w:sz="0" w:space="0" w:color="auto"/>
                <w:bottom w:val="none" w:sz="0" w:space="0" w:color="auto"/>
                <w:right w:val="none" w:sz="0" w:space="0" w:color="auto"/>
              </w:divBdr>
            </w:div>
            <w:div w:id="1378509796">
              <w:marLeft w:val="0"/>
              <w:marRight w:val="0"/>
              <w:marTop w:val="0"/>
              <w:marBottom w:val="0"/>
              <w:divBdr>
                <w:top w:val="none" w:sz="0" w:space="0" w:color="auto"/>
                <w:left w:val="none" w:sz="0" w:space="0" w:color="auto"/>
                <w:bottom w:val="none" w:sz="0" w:space="0" w:color="auto"/>
                <w:right w:val="none" w:sz="0" w:space="0" w:color="auto"/>
              </w:divBdr>
            </w:div>
          </w:divsChild>
        </w:div>
        <w:div w:id="313680838">
          <w:marLeft w:val="0"/>
          <w:marRight w:val="0"/>
          <w:marTop w:val="0"/>
          <w:marBottom w:val="0"/>
          <w:divBdr>
            <w:top w:val="none" w:sz="0" w:space="0" w:color="auto"/>
            <w:left w:val="none" w:sz="0" w:space="0" w:color="auto"/>
            <w:bottom w:val="none" w:sz="0" w:space="0" w:color="auto"/>
            <w:right w:val="none" w:sz="0" w:space="0" w:color="auto"/>
          </w:divBdr>
        </w:div>
        <w:div w:id="1433042064">
          <w:marLeft w:val="360"/>
          <w:marRight w:val="0"/>
          <w:marTop w:val="0"/>
          <w:marBottom w:val="0"/>
          <w:divBdr>
            <w:top w:val="none" w:sz="0" w:space="0" w:color="auto"/>
            <w:left w:val="none" w:sz="0" w:space="0" w:color="auto"/>
            <w:bottom w:val="none" w:sz="0" w:space="0" w:color="auto"/>
            <w:right w:val="none" w:sz="0" w:space="0" w:color="auto"/>
          </w:divBdr>
        </w:div>
        <w:div w:id="1087311902">
          <w:marLeft w:val="0"/>
          <w:marRight w:val="0"/>
          <w:marTop w:val="0"/>
          <w:marBottom w:val="0"/>
          <w:divBdr>
            <w:top w:val="none" w:sz="0" w:space="0" w:color="auto"/>
            <w:left w:val="none" w:sz="0" w:space="0" w:color="auto"/>
            <w:bottom w:val="none" w:sz="0" w:space="0" w:color="auto"/>
            <w:right w:val="none" w:sz="0" w:space="0" w:color="auto"/>
          </w:divBdr>
        </w:div>
        <w:div w:id="1324972614">
          <w:marLeft w:val="360"/>
          <w:marRight w:val="0"/>
          <w:marTop w:val="0"/>
          <w:marBottom w:val="0"/>
          <w:divBdr>
            <w:top w:val="none" w:sz="0" w:space="0" w:color="auto"/>
            <w:left w:val="none" w:sz="0" w:space="0" w:color="auto"/>
            <w:bottom w:val="none" w:sz="0" w:space="0" w:color="auto"/>
            <w:right w:val="none" w:sz="0" w:space="0" w:color="auto"/>
          </w:divBdr>
        </w:div>
        <w:div w:id="2048678041">
          <w:marLeft w:val="0"/>
          <w:marRight w:val="0"/>
          <w:marTop w:val="0"/>
          <w:marBottom w:val="0"/>
          <w:divBdr>
            <w:top w:val="none" w:sz="0" w:space="0" w:color="auto"/>
            <w:left w:val="none" w:sz="0" w:space="0" w:color="auto"/>
            <w:bottom w:val="none" w:sz="0" w:space="0" w:color="auto"/>
            <w:right w:val="none" w:sz="0" w:space="0" w:color="auto"/>
          </w:divBdr>
        </w:div>
        <w:div w:id="1964532557">
          <w:marLeft w:val="360"/>
          <w:marRight w:val="0"/>
          <w:marTop w:val="0"/>
          <w:marBottom w:val="0"/>
          <w:divBdr>
            <w:top w:val="none" w:sz="0" w:space="0" w:color="auto"/>
            <w:left w:val="none" w:sz="0" w:space="0" w:color="auto"/>
            <w:bottom w:val="none" w:sz="0" w:space="0" w:color="auto"/>
            <w:right w:val="none" w:sz="0" w:space="0" w:color="auto"/>
          </w:divBdr>
        </w:div>
        <w:div w:id="540634076">
          <w:marLeft w:val="0"/>
          <w:marRight w:val="0"/>
          <w:marTop w:val="0"/>
          <w:marBottom w:val="0"/>
          <w:divBdr>
            <w:top w:val="none" w:sz="0" w:space="0" w:color="auto"/>
            <w:left w:val="none" w:sz="0" w:space="0" w:color="auto"/>
            <w:bottom w:val="none" w:sz="0" w:space="0" w:color="auto"/>
            <w:right w:val="none" w:sz="0" w:space="0" w:color="auto"/>
          </w:divBdr>
        </w:div>
        <w:div w:id="1882282711">
          <w:marLeft w:val="360"/>
          <w:marRight w:val="0"/>
          <w:marTop w:val="0"/>
          <w:marBottom w:val="0"/>
          <w:divBdr>
            <w:top w:val="none" w:sz="0" w:space="0" w:color="auto"/>
            <w:left w:val="none" w:sz="0" w:space="0" w:color="auto"/>
            <w:bottom w:val="none" w:sz="0" w:space="0" w:color="auto"/>
            <w:right w:val="none" w:sz="0" w:space="0" w:color="auto"/>
          </w:divBdr>
        </w:div>
      </w:divsChild>
    </w:div>
    <w:div w:id="612588640">
      <w:bodyDiv w:val="1"/>
      <w:marLeft w:val="0"/>
      <w:marRight w:val="0"/>
      <w:marTop w:val="0"/>
      <w:marBottom w:val="0"/>
      <w:divBdr>
        <w:top w:val="none" w:sz="0" w:space="0" w:color="auto"/>
        <w:left w:val="none" w:sz="0" w:space="0" w:color="auto"/>
        <w:bottom w:val="none" w:sz="0" w:space="0" w:color="auto"/>
        <w:right w:val="none" w:sz="0" w:space="0" w:color="auto"/>
      </w:divBdr>
    </w:div>
    <w:div w:id="686905543">
      <w:bodyDiv w:val="1"/>
      <w:marLeft w:val="0"/>
      <w:marRight w:val="0"/>
      <w:marTop w:val="0"/>
      <w:marBottom w:val="0"/>
      <w:divBdr>
        <w:top w:val="none" w:sz="0" w:space="0" w:color="auto"/>
        <w:left w:val="none" w:sz="0" w:space="0" w:color="auto"/>
        <w:bottom w:val="none" w:sz="0" w:space="0" w:color="auto"/>
        <w:right w:val="none" w:sz="0" w:space="0" w:color="auto"/>
      </w:divBdr>
    </w:div>
    <w:div w:id="816646213">
      <w:bodyDiv w:val="1"/>
      <w:marLeft w:val="0"/>
      <w:marRight w:val="0"/>
      <w:marTop w:val="0"/>
      <w:marBottom w:val="0"/>
      <w:divBdr>
        <w:top w:val="none" w:sz="0" w:space="0" w:color="auto"/>
        <w:left w:val="none" w:sz="0" w:space="0" w:color="auto"/>
        <w:bottom w:val="none" w:sz="0" w:space="0" w:color="auto"/>
        <w:right w:val="none" w:sz="0" w:space="0" w:color="auto"/>
      </w:divBdr>
    </w:div>
    <w:div w:id="905527711">
      <w:bodyDiv w:val="1"/>
      <w:marLeft w:val="0"/>
      <w:marRight w:val="0"/>
      <w:marTop w:val="0"/>
      <w:marBottom w:val="0"/>
      <w:divBdr>
        <w:top w:val="none" w:sz="0" w:space="0" w:color="auto"/>
        <w:left w:val="none" w:sz="0" w:space="0" w:color="auto"/>
        <w:bottom w:val="none" w:sz="0" w:space="0" w:color="auto"/>
        <w:right w:val="none" w:sz="0" w:space="0" w:color="auto"/>
      </w:divBdr>
    </w:div>
    <w:div w:id="1084493802">
      <w:bodyDiv w:val="1"/>
      <w:marLeft w:val="0"/>
      <w:marRight w:val="0"/>
      <w:marTop w:val="0"/>
      <w:marBottom w:val="0"/>
      <w:divBdr>
        <w:top w:val="none" w:sz="0" w:space="0" w:color="auto"/>
        <w:left w:val="none" w:sz="0" w:space="0" w:color="auto"/>
        <w:bottom w:val="none" w:sz="0" w:space="0" w:color="auto"/>
        <w:right w:val="none" w:sz="0" w:space="0" w:color="auto"/>
      </w:divBdr>
    </w:div>
    <w:div w:id="1605916222">
      <w:bodyDiv w:val="1"/>
      <w:marLeft w:val="0"/>
      <w:marRight w:val="0"/>
      <w:marTop w:val="0"/>
      <w:marBottom w:val="0"/>
      <w:divBdr>
        <w:top w:val="none" w:sz="0" w:space="0" w:color="auto"/>
        <w:left w:val="none" w:sz="0" w:space="0" w:color="auto"/>
        <w:bottom w:val="none" w:sz="0" w:space="0" w:color="auto"/>
        <w:right w:val="none" w:sz="0" w:space="0" w:color="auto"/>
      </w:divBdr>
    </w:div>
    <w:div w:id="1658342793">
      <w:bodyDiv w:val="1"/>
      <w:marLeft w:val="0"/>
      <w:marRight w:val="0"/>
      <w:marTop w:val="0"/>
      <w:marBottom w:val="0"/>
      <w:divBdr>
        <w:top w:val="none" w:sz="0" w:space="0" w:color="auto"/>
        <w:left w:val="none" w:sz="0" w:space="0" w:color="auto"/>
        <w:bottom w:val="none" w:sz="0" w:space="0" w:color="auto"/>
        <w:right w:val="none" w:sz="0" w:space="0" w:color="auto"/>
      </w:divBdr>
      <w:divsChild>
        <w:div w:id="656230464">
          <w:marLeft w:val="0"/>
          <w:marRight w:val="0"/>
          <w:marTop w:val="0"/>
          <w:marBottom w:val="0"/>
          <w:divBdr>
            <w:top w:val="none" w:sz="0" w:space="0" w:color="auto"/>
            <w:left w:val="none" w:sz="0" w:space="0" w:color="auto"/>
            <w:bottom w:val="none" w:sz="0" w:space="0" w:color="auto"/>
            <w:right w:val="none" w:sz="0" w:space="0" w:color="auto"/>
          </w:divBdr>
          <w:divsChild>
            <w:div w:id="1625035681">
              <w:marLeft w:val="0"/>
              <w:marRight w:val="0"/>
              <w:marTop w:val="0"/>
              <w:marBottom w:val="0"/>
              <w:divBdr>
                <w:top w:val="none" w:sz="0" w:space="0" w:color="auto"/>
                <w:left w:val="none" w:sz="0" w:space="0" w:color="auto"/>
                <w:bottom w:val="none" w:sz="0" w:space="0" w:color="auto"/>
                <w:right w:val="none" w:sz="0" w:space="0" w:color="auto"/>
              </w:divBdr>
              <w:divsChild>
                <w:div w:id="650523077">
                  <w:marLeft w:val="0"/>
                  <w:marRight w:val="0"/>
                  <w:marTop w:val="0"/>
                  <w:marBottom w:val="0"/>
                  <w:divBdr>
                    <w:top w:val="none" w:sz="0" w:space="0" w:color="auto"/>
                    <w:left w:val="none" w:sz="0" w:space="0" w:color="auto"/>
                    <w:bottom w:val="none" w:sz="0" w:space="0" w:color="auto"/>
                    <w:right w:val="none" w:sz="0" w:space="0" w:color="auto"/>
                  </w:divBdr>
                  <w:divsChild>
                    <w:div w:id="170997962">
                      <w:marLeft w:val="272"/>
                      <w:marRight w:val="0"/>
                      <w:marTop w:val="136"/>
                      <w:marBottom w:val="136"/>
                      <w:divBdr>
                        <w:top w:val="none" w:sz="0" w:space="0" w:color="auto"/>
                        <w:left w:val="none" w:sz="0" w:space="0" w:color="auto"/>
                        <w:bottom w:val="none" w:sz="0" w:space="0" w:color="auto"/>
                        <w:right w:val="none" w:sz="0" w:space="0" w:color="auto"/>
                      </w:divBdr>
                      <w:divsChild>
                        <w:div w:id="44061652">
                          <w:marLeft w:val="0"/>
                          <w:marRight w:val="0"/>
                          <w:marTop w:val="0"/>
                          <w:marBottom w:val="0"/>
                          <w:divBdr>
                            <w:top w:val="none" w:sz="0" w:space="0" w:color="auto"/>
                            <w:left w:val="none" w:sz="0" w:space="0" w:color="auto"/>
                            <w:bottom w:val="none" w:sz="0" w:space="0" w:color="auto"/>
                            <w:right w:val="none" w:sz="0" w:space="0" w:color="auto"/>
                          </w:divBdr>
                          <w:divsChild>
                            <w:div w:id="846090916">
                              <w:marLeft w:val="0"/>
                              <w:marRight w:val="0"/>
                              <w:marTop w:val="0"/>
                              <w:marBottom w:val="0"/>
                              <w:divBdr>
                                <w:top w:val="none" w:sz="0" w:space="0" w:color="auto"/>
                                <w:left w:val="none" w:sz="0" w:space="0" w:color="auto"/>
                                <w:bottom w:val="none" w:sz="0" w:space="0" w:color="auto"/>
                                <w:right w:val="none" w:sz="0" w:space="0" w:color="auto"/>
                              </w:divBdr>
                              <w:divsChild>
                                <w:div w:id="419301955">
                                  <w:marLeft w:val="0"/>
                                  <w:marRight w:val="0"/>
                                  <w:marTop w:val="0"/>
                                  <w:marBottom w:val="0"/>
                                  <w:divBdr>
                                    <w:top w:val="none" w:sz="0" w:space="0" w:color="auto"/>
                                    <w:left w:val="none" w:sz="0" w:space="0" w:color="auto"/>
                                    <w:bottom w:val="none" w:sz="0" w:space="0" w:color="auto"/>
                                    <w:right w:val="none" w:sz="0" w:space="0" w:color="auto"/>
                                  </w:divBdr>
                                  <w:divsChild>
                                    <w:div w:id="1555892108">
                                      <w:marLeft w:val="0"/>
                                      <w:marRight w:val="0"/>
                                      <w:marTop w:val="0"/>
                                      <w:marBottom w:val="0"/>
                                      <w:divBdr>
                                        <w:top w:val="none" w:sz="0" w:space="0" w:color="auto"/>
                                        <w:left w:val="none" w:sz="0" w:space="0" w:color="auto"/>
                                        <w:bottom w:val="none" w:sz="0" w:space="0" w:color="auto"/>
                                        <w:right w:val="none" w:sz="0" w:space="0" w:color="auto"/>
                                      </w:divBdr>
                                      <w:divsChild>
                                        <w:div w:id="1842700317">
                                          <w:marLeft w:val="0"/>
                                          <w:marRight w:val="0"/>
                                          <w:marTop w:val="0"/>
                                          <w:marBottom w:val="0"/>
                                          <w:divBdr>
                                            <w:top w:val="none" w:sz="0" w:space="0" w:color="auto"/>
                                            <w:left w:val="none" w:sz="0" w:space="0" w:color="auto"/>
                                            <w:bottom w:val="none" w:sz="0" w:space="0" w:color="auto"/>
                                            <w:right w:val="none" w:sz="0" w:space="0" w:color="auto"/>
                                          </w:divBdr>
                                          <w:divsChild>
                                            <w:div w:id="607851641">
                                              <w:marLeft w:val="0"/>
                                              <w:marRight w:val="0"/>
                                              <w:marTop w:val="0"/>
                                              <w:marBottom w:val="0"/>
                                              <w:divBdr>
                                                <w:top w:val="none" w:sz="0" w:space="0" w:color="auto"/>
                                                <w:left w:val="none" w:sz="0" w:space="0" w:color="auto"/>
                                                <w:bottom w:val="none" w:sz="0" w:space="0" w:color="auto"/>
                                                <w:right w:val="none" w:sz="0" w:space="0" w:color="auto"/>
                                              </w:divBdr>
                                              <w:divsChild>
                                                <w:div w:id="1642736744">
                                                  <w:marLeft w:val="0"/>
                                                  <w:marRight w:val="0"/>
                                                  <w:marTop w:val="0"/>
                                                  <w:marBottom w:val="0"/>
                                                  <w:divBdr>
                                                    <w:top w:val="none" w:sz="0" w:space="0" w:color="auto"/>
                                                    <w:left w:val="none" w:sz="0" w:space="0" w:color="auto"/>
                                                    <w:bottom w:val="none" w:sz="0" w:space="0" w:color="auto"/>
                                                    <w:right w:val="none" w:sz="0" w:space="0" w:color="auto"/>
                                                  </w:divBdr>
                                                  <w:divsChild>
                                                    <w:div w:id="1860923692">
                                                      <w:marLeft w:val="0"/>
                                                      <w:marRight w:val="0"/>
                                                      <w:marTop w:val="0"/>
                                                      <w:marBottom w:val="0"/>
                                                      <w:divBdr>
                                                        <w:top w:val="none" w:sz="0" w:space="0" w:color="auto"/>
                                                        <w:left w:val="none" w:sz="0" w:space="0" w:color="auto"/>
                                                        <w:bottom w:val="none" w:sz="0" w:space="0" w:color="auto"/>
                                                        <w:right w:val="none" w:sz="0" w:space="0" w:color="auto"/>
                                                      </w:divBdr>
                                                      <w:divsChild>
                                                        <w:div w:id="291400150">
                                                          <w:marLeft w:val="0"/>
                                                          <w:marRight w:val="0"/>
                                                          <w:marTop w:val="0"/>
                                                          <w:marBottom w:val="0"/>
                                                          <w:divBdr>
                                                            <w:top w:val="none" w:sz="0" w:space="0" w:color="auto"/>
                                                            <w:left w:val="none" w:sz="0" w:space="0" w:color="auto"/>
                                                            <w:bottom w:val="none" w:sz="0" w:space="0" w:color="auto"/>
                                                            <w:right w:val="none" w:sz="0" w:space="0" w:color="auto"/>
                                                          </w:divBdr>
                                                          <w:divsChild>
                                                            <w:div w:id="1139878091">
                                                              <w:marLeft w:val="0"/>
                                                              <w:marRight w:val="0"/>
                                                              <w:marTop w:val="0"/>
                                                              <w:marBottom w:val="0"/>
                                                              <w:divBdr>
                                                                <w:top w:val="none" w:sz="0" w:space="0" w:color="auto"/>
                                                                <w:left w:val="none" w:sz="0" w:space="0" w:color="auto"/>
                                                                <w:bottom w:val="none" w:sz="0" w:space="0" w:color="auto"/>
                                                                <w:right w:val="none" w:sz="0" w:space="0" w:color="auto"/>
                                                              </w:divBdr>
                                                              <w:divsChild>
                                                                <w:div w:id="1443917863">
                                                                  <w:marLeft w:val="0"/>
                                                                  <w:marRight w:val="0"/>
                                                                  <w:marTop w:val="0"/>
                                                                  <w:marBottom w:val="0"/>
                                                                  <w:divBdr>
                                                                    <w:top w:val="none" w:sz="0" w:space="0" w:color="auto"/>
                                                                    <w:left w:val="none" w:sz="0" w:space="0" w:color="auto"/>
                                                                    <w:bottom w:val="none" w:sz="0" w:space="0" w:color="auto"/>
                                                                    <w:right w:val="none" w:sz="0" w:space="0" w:color="auto"/>
                                                                  </w:divBdr>
                                                                  <w:divsChild>
                                                                    <w:div w:id="1894537721">
                                                                      <w:marLeft w:val="0"/>
                                                                      <w:marRight w:val="0"/>
                                                                      <w:marTop w:val="0"/>
                                                                      <w:marBottom w:val="0"/>
                                                                      <w:divBdr>
                                                                        <w:top w:val="none" w:sz="0" w:space="0" w:color="auto"/>
                                                                        <w:left w:val="none" w:sz="0" w:space="0" w:color="auto"/>
                                                                        <w:bottom w:val="none" w:sz="0" w:space="0" w:color="auto"/>
                                                                        <w:right w:val="none" w:sz="0" w:space="0" w:color="auto"/>
                                                                      </w:divBdr>
                                                                      <w:divsChild>
                                                                        <w:div w:id="133576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7016334">
      <w:bodyDiv w:val="1"/>
      <w:marLeft w:val="0"/>
      <w:marRight w:val="0"/>
      <w:marTop w:val="0"/>
      <w:marBottom w:val="0"/>
      <w:divBdr>
        <w:top w:val="none" w:sz="0" w:space="0" w:color="auto"/>
        <w:left w:val="none" w:sz="0" w:space="0" w:color="auto"/>
        <w:bottom w:val="none" w:sz="0" w:space="0" w:color="auto"/>
        <w:right w:val="none" w:sz="0" w:space="0" w:color="auto"/>
      </w:divBdr>
      <w:divsChild>
        <w:div w:id="1364939153">
          <w:marLeft w:val="0"/>
          <w:marRight w:val="0"/>
          <w:marTop w:val="360"/>
          <w:marBottom w:val="408"/>
          <w:divBdr>
            <w:top w:val="none" w:sz="0" w:space="0" w:color="auto"/>
            <w:left w:val="none" w:sz="0" w:space="0" w:color="auto"/>
            <w:bottom w:val="none" w:sz="0" w:space="0" w:color="auto"/>
            <w:right w:val="none" w:sz="0" w:space="0" w:color="auto"/>
          </w:divBdr>
        </w:div>
        <w:div w:id="2019195059">
          <w:marLeft w:val="125"/>
          <w:marRight w:val="88"/>
          <w:marTop w:val="0"/>
          <w:marBottom w:val="0"/>
          <w:divBdr>
            <w:top w:val="none" w:sz="0" w:space="0" w:color="auto"/>
            <w:left w:val="none" w:sz="0" w:space="0" w:color="auto"/>
            <w:bottom w:val="none" w:sz="0" w:space="0" w:color="auto"/>
            <w:right w:val="none" w:sz="0" w:space="0" w:color="auto"/>
          </w:divBdr>
        </w:div>
        <w:div w:id="173108801">
          <w:marLeft w:val="0"/>
          <w:marRight w:val="0"/>
          <w:marTop w:val="360"/>
          <w:marBottom w:val="408"/>
          <w:divBdr>
            <w:top w:val="none" w:sz="0" w:space="0" w:color="auto"/>
            <w:left w:val="none" w:sz="0" w:space="0" w:color="auto"/>
            <w:bottom w:val="none" w:sz="0" w:space="0" w:color="auto"/>
            <w:right w:val="none" w:sz="0" w:space="0" w:color="auto"/>
          </w:divBdr>
        </w:div>
      </w:divsChild>
    </w:div>
    <w:div w:id="1895196835">
      <w:bodyDiv w:val="1"/>
      <w:marLeft w:val="0"/>
      <w:marRight w:val="0"/>
      <w:marTop w:val="0"/>
      <w:marBottom w:val="0"/>
      <w:divBdr>
        <w:top w:val="none" w:sz="0" w:space="0" w:color="auto"/>
        <w:left w:val="none" w:sz="0" w:space="0" w:color="auto"/>
        <w:bottom w:val="none" w:sz="0" w:space="0" w:color="auto"/>
        <w:right w:val="none" w:sz="0" w:space="0" w:color="auto"/>
      </w:divBdr>
    </w:div>
    <w:div w:id="2000110773">
      <w:bodyDiv w:val="1"/>
      <w:marLeft w:val="0"/>
      <w:marRight w:val="0"/>
      <w:marTop w:val="0"/>
      <w:marBottom w:val="0"/>
      <w:divBdr>
        <w:top w:val="none" w:sz="0" w:space="0" w:color="auto"/>
        <w:left w:val="none" w:sz="0" w:space="0" w:color="auto"/>
        <w:bottom w:val="none" w:sz="0" w:space="0" w:color="auto"/>
        <w:right w:val="none" w:sz="0" w:space="0" w:color="auto"/>
      </w:divBdr>
      <w:divsChild>
        <w:div w:id="1419861305">
          <w:marLeft w:val="0"/>
          <w:marRight w:val="0"/>
          <w:marTop w:val="0"/>
          <w:marBottom w:val="0"/>
          <w:divBdr>
            <w:top w:val="none" w:sz="0" w:space="0" w:color="auto"/>
            <w:left w:val="none" w:sz="0" w:space="0" w:color="auto"/>
            <w:bottom w:val="none" w:sz="0" w:space="0" w:color="auto"/>
            <w:right w:val="none" w:sz="0" w:space="0" w:color="auto"/>
          </w:divBdr>
          <w:divsChild>
            <w:div w:id="1135173584">
              <w:marLeft w:val="0"/>
              <w:marRight w:val="0"/>
              <w:marTop w:val="0"/>
              <w:marBottom w:val="0"/>
              <w:divBdr>
                <w:top w:val="none" w:sz="0" w:space="0" w:color="auto"/>
                <w:left w:val="none" w:sz="0" w:space="0" w:color="auto"/>
                <w:bottom w:val="none" w:sz="0" w:space="0" w:color="auto"/>
                <w:right w:val="none" w:sz="0" w:space="0" w:color="auto"/>
              </w:divBdr>
              <w:divsChild>
                <w:div w:id="2031566227">
                  <w:marLeft w:val="0"/>
                  <w:marRight w:val="0"/>
                  <w:marTop w:val="0"/>
                  <w:marBottom w:val="0"/>
                  <w:divBdr>
                    <w:top w:val="none" w:sz="0" w:space="0" w:color="auto"/>
                    <w:left w:val="none" w:sz="0" w:space="0" w:color="auto"/>
                    <w:bottom w:val="none" w:sz="0" w:space="0" w:color="auto"/>
                    <w:right w:val="none" w:sz="0" w:space="0" w:color="auto"/>
                  </w:divBdr>
                  <w:divsChild>
                    <w:div w:id="1178541725">
                      <w:marLeft w:val="272"/>
                      <w:marRight w:val="0"/>
                      <w:marTop w:val="136"/>
                      <w:marBottom w:val="136"/>
                      <w:divBdr>
                        <w:top w:val="none" w:sz="0" w:space="0" w:color="auto"/>
                        <w:left w:val="none" w:sz="0" w:space="0" w:color="auto"/>
                        <w:bottom w:val="none" w:sz="0" w:space="0" w:color="auto"/>
                        <w:right w:val="none" w:sz="0" w:space="0" w:color="auto"/>
                      </w:divBdr>
                      <w:divsChild>
                        <w:div w:id="2040617802">
                          <w:marLeft w:val="0"/>
                          <w:marRight w:val="0"/>
                          <w:marTop w:val="0"/>
                          <w:marBottom w:val="0"/>
                          <w:divBdr>
                            <w:top w:val="none" w:sz="0" w:space="0" w:color="auto"/>
                            <w:left w:val="none" w:sz="0" w:space="0" w:color="auto"/>
                            <w:bottom w:val="none" w:sz="0" w:space="0" w:color="auto"/>
                            <w:right w:val="none" w:sz="0" w:space="0" w:color="auto"/>
                          </w:divBdr>
                          <w:divsChild>
                            <w:div w:id="448548976">
                              <w:marLeft w:val="0"/>
                              <w:marRight w:val="0"/>
                              <w:marTop w:val="0"/>
                              <w:marBottom w:val="0"/>
                              <w:divBdr>
                                <w:top w:val="none" w:sz="0" w:space="0" w:color="auto"/>
                                <w:left w:val="none" w:sz="0" w:space="0" w:color="auto"/>
                                <w:bottom w:val="none" w:sz="0" w:space="0" w:color="auto"/>
                                <w:right w:val="none" w:sz="0" w:space="0" w:color="auto"/>
                              </w:divBdr>
                              <w:divsChild>
                                <w:div w:id="1276983374">
                                  <w:marLeft w:val="0"/>
                                  <w:marRight w:val="0"/>
                                  <w:marTop w:val="0"/>
                                  <w:marBottom w:val="0"/>
                                  <w:divBdr>
                                    <w:top w:val="none" w:sz="0" w:space="0" w:color="auto"/>
                                    <w:left w:val="none" w:sz="0" w:space="0" w:color="auto"/>
                                    <w:bottom w:val="none" w:sz="0" w:space="0" w:color="auto"/>
                                    <w:right w:val="none" w:sz="0" w:space="0" w:color="auto"/>
                                  </w:divBdr>
                                  <w:divsChild>
                                    <w:div w:id="1472136975">
                                      <w:marLeft w:val="0"/>
                                      <w:marRight w:val="0"/>
                                      <w:marTop w:val="0"/>
                                      <w:marBottom w:val="0"/>
                                      <w:divBdr>
                                        <w:top w:val="none" w:sz="0" w:space="0" w:color="auto"/>
                                        <w:left w:val="none" w:sz="0" w:space="0" w:color="auto"/>
                                        <w:bottom w:val="none" w:sz="0" w:space="0" w:color="auto"/>
                                        <w:right w:val="none" w:sz="0" w:space="0" w:color="auto"/>
                                      </w:divBdr>
                                      <w:divsChild>
                                        <w:div w:id="1948004458">
                                          <w:marLeft w:val="0"/>
                                          <w:marRight w:val="0"/>
                                          <w:marTop w:val="0"/>
                                          <w:marBottom w:val="0"/>
                                          <w:divBdr>
                                            <w:top w:val="none" w:sz="0" w:space="0" w:color="auto"/>
                                            <w:left w:val="none" w:sz="0" w:space="0" w:color="auto"/>
                                            <w:bottom w:val="none" w:sz="0" w:space="0" w:color="auto"/>
                                            <w:right w:val="none" w:sz="0" w:space="0" w:color="auto"/>
                                          </w:divBdr>
                                          <w:divsChild>
                                            <w:div w:id="1133644780">
                                              <w:marLeft w:val="0"/>
                                              <w:marRight w:val="0"/>
                                              <w:marTop w:val="0"/>
                                              <w:marBottom w:val="0"/>
                                              <w:divBdr>
                                                <w:top w:val="none" w:sz="0" w:space="0" w:color="auto"/>
                                                <w:left w:val="none" w:sz="0" w:space="0" w:color="auto"/>
                                                <w:bottom w:val="none" w:sz="0" w:space="0" w:color="auto"/>
                                                <w:right w:val="none" w:sz="0" w:space="0" w:color="auto"/>
                                              </w:divBdr>
                                              <w:divsChild>
                                                <w:div w:id="1816145571">
                                                  <w:marLeft w:val="0"/>
                                                  <w:marRight w:val="0"/>
                                                  <w:marTop w:val="0"/>
                                                  <w:marBottom w:val="0"/>
                                                  <w:divBdr>
                                                    <w:top w:val="none" w:sz="0" w:space="0" w:color="auto"/>
                                                    <w:left w:val="none" w:sz="0" w:space="0" w:color="auto"/>
                                                    <w:bottom w:val="none" w:sz="0" w:space="0" w:color="auto"/>
                                                    <w:right w:val="none" w:sz="0" w:space="0" w:color="auto"/>
                                                  </w:divBdr>
                                                  <w:divsChild>
                                                    <w:div w:id="986132980">
                                                      <w:marLeft w:val="0"/>
                                                      <w:marRight w:val="0"/>
                                                      <w:marTop w:val="0"/>
                                                      <w:marBottom w:val="0"/>
                                                      <w:divBdr>
                                                        <w:top w:val="none" w:sz="0" w:space="0" w:color="auto"/>
                                                        <w:left w:val="none" w:sz="0" w:space="0" w:color="auto"/>
                                                        <w:bottom w:val="none" w:sz="0" w:space="0" w:color="auto"/>
                                                        <w:right w:val="none" w:sz="0" w:space="0" w:color="auto"/>
                                                      </w:divBdr>
                                                      <w:divsChild>
                                                        <w:div w:id="1953004724">
                                                          <w:marLeft w:val="0"/>
                                                          <w:marRight w:val="0"/>
                                                          <w:marTop w:val="0"/>
                                                          <w:marBottom w:val="0"/>
                                                          <w:divBdr>
                                                            <w:top w:val="none" w:sz="0" w:space="0" w:color="auto"/>
                                                            <w:left w:val="none" w:sz="0" w:space="0" w:color="auto"/>
                                                            <w:bottom w:val="none" w:sz="0" w:space="0" w:color="auto"/>
                                                            <w:right w:val="none" w:sz="0" w:space="0" w:color="auto"/>
                                                          </w:divBdr>
                                                          <w:divsChild>
                                                            <w:div w:id="948588676">
                                                              <w:marLeft w:val="0"/>
                                                              <w:marRight w:val="0"/>
                                                              <w:marTop w:val="0"/>
                                                              <w:marBottom w:val="0"/>
                                                              <w:divBdr>
                                                                <w:top w:val="none" w:sz="0" w:space="0" w:color="auto"/>
                                                                <w:left w:val="none" w:sz="0" w:space="0" w:color="auto"/>
                                                                <w:bottom w:val="none" w:sz="0" w:space="0" w:color="auto"/>
                                                                <w:right w:val="none" w:sz="0" w:space="0" w:color="auto"/>
                                                              </w:divBdr>
                                                              <w:divsChild>
                                                                <w:div w:id="1962610881">
                                                                  <w:marLeft w:val="0"/>
                                                                  <w:marRight w:val="0"/>
                                                                  <w:marTop w:val="0"/>
                                                                  <w:marBottom w:val="0"/>
                                                                  <w:divBdr>
                                                                    <w:top w:val="none" w:sz="0" w:space="0" w:color="auto"/>
                                                                    <w:left w:val="none" w:sz="0" w:space="0" w:color="auto"/>
                                                                    <w:bottom w:val="none" w:sz="0" w:space="0" w:color="auto"/>
                                                                    <w:right w:val="none" w:sz="0" w:space="0" w:color="auto"/>
                                                                  </w:divBdr>
                                                                  <w:divsChild>
                                                                    <w:div w:id="671179342">
                                                                      <w:marLeft w:val="0"/>
                                                                      <w:marRight w:val="0"/>
                                                                      <w:marTop w:val="0"/>
                                                                      <w:marBottom w:val="0"/>
                                                                      <w:divBdr>
                                                                        <w:top w:val="none" w:sz="0" w:space="0" w:color="auto"/>
                                                                        <w:left w:val="none" w:sz="0" w:space="0" w:color="auto"/>
                                                                        <w:bottom w:val="none" w:sz="0" w:space="0" w:color="auto"/>
                                                                        <w:right w:val="none" w:sz="0" w:space="0" w:color="auto"/>
                                                                      </w:divBdr>
                                                                      <w:divsChild>
                                                                        <w:div w:id="1276014060">
                                                                          <w:marLeft w:val="0"/>
                                                                          <w:marRight w:val="0"/>
                                                                          <w:marTop w:val="0"/>
                                                                          <w:marBottom w:val="0"/>
                                                                          <w:divBdr>
                                                                            <w:top w:val="none" w:sz="0" w:space="0" w:color="auto"/>
                                                                            <w:left w:val="none" w:sz="0" w:space="0" w:color="auto"/>
                                                                            <w:bottom w:val="none" w:sz="0" w:space="0" w:color="auto"/>
                                                                            <w:right w:val="none" w:sz="0" w:space="0" w:color="auto"/>
                                                                          </w:divBdr>
                                                                          <w:divsChild>
                                                                            <w:div w:id="1464688999">
                                                                              <w:marLeft w:val="0"/>
                                                                              <w:marRight w:val="0"/>
                                                                              <w:marTop w:val="0"/>
                                                                              <w:marBottom w:val="0"/>
                                                                              <w:divBdr>
                                                                                <w:top w:val="none" w:sz="0" w:space="0" w:color="auto"/>
                                                                                <w:left w:val="none" w:sz="0" w:space="0" w:color="auto"/>
                                                                                <w:bottom w:val="none" w:sz="0" w:space="0" w:color="auto"/>
                                                                                <w:right w:val="none" w:sz="0" w:space="0" w:color="auto"/>
                                                                              </w:divBdr>
                                                                              <w:divsChild>
                                                                                <w:div w:id="882979562">
                                                                                  <w:marLeft w:val="0"/>
                                                                                  <w:marRight w:val="0"/>
                                                                                  <w:marTop w:val="0"/>
                                                                                  <w:marBottom w:val="0"/>
                                                                                  <w:divBdr>
                                                                                    <w:top w:val="none" w:sz="0" w:space="0" w:color="auto"/>
                                                                                    <w:left w:val="none" w:sz="0" w:space="0" w:color="auto"/>
                                                                                    <w:bottom w:val="none" w:sz="0" w:space="0" w:color="auto"/>
                                                                                    <w:right w:val="none" w:sz="0" w:space="0" w:color="auto"/>
                                                                                  </w:divBdr>
                                                                                  <w:divsChild>
                                                                                    <w:div w:id="302589919">
                                                                                      <w:marLeft w:val="0"/>
                                                                                      <w:marRight w:val="0"/>
                                                                                      <w:marTop w:val="0"/>
                                                                                      <w:marBottom w:val="0"/>
                                                                                      <w:divBdr>
                                                                                        <w:top w:val="none" w:sz="0" w:space="0" w:color="auto"/>
                                                                                        <w:left w:val="none" w:sz="0" w:space="0" w:color="auto"/>
                                                                                        <w:bottom w:val="none" w:sz="0" w:space="0" w:color="auto"/>
                                                                                        <w:right w:val="none" w:sz="0" w:space="0" w:color="auto"/>
                                                                                      </w:divBdr>
                                                                                      <w:divsChild>
                                                                                        <w:div w:id="1399128845">
                                                                                          <w:marLeft w:val="0"/>
                                                                                          <w:marRight w:val="0"/>
                                                                                          <w:marTop w:val="0"/>
                                                                                          <w:marBottom w:val="0"/>
                                                                                          <w:divBdr>
                                                                                            <w:top w:val="none" w:sz="0" w:space="0" w:color="auto"/>
                                                                                            <w:left w:val="none" w:sz="0" w:space="0" w:color="auto"/>
                                                                                            <w:bottom w:val="none" w:sz="0" w:space="0" w:color="auto"/>
                                                                                            <w:right w:val="none" w:sz="0" w:space="0" w:color="auto"/>
                                                                                          </w:divBdr>
                                                                                          <w:divsChild>
                                                                                            <w:div w:id="109784746">
                                                                                              <w:marLeft w:val="0"/>
                                                                                              <w:marRight w:val="0"/>
                                                                                              <w:marTop w:val="0"/>
                                                                                              <w:marBottom w:val="0"/>
                                                                                              <w:divBdr>
                                                                                                <w:top w:val="none" w:sz="0" w:space="0" w:color="auto"/>
                                                                                                <w:left w:val="none" w:sz="0" w:space="0" w:color="auto"/>
                                                                                                <w:bottom w:val="none" w:sz="0" w:space="0" w:color="auto"/>
                                                                                                <w:right w:val="none" w:sz="0" w:space="0" w:color="auto"/>
                                                                                              </w:divBdr>
                                                                                              <w:divsChild>
                                                                                                <w:div w:id="2133594921">
                                                                                                  <w:marLeft w:val="0"/>
                                                                                                  <w:marRight w:val="0"/>
                                                                                                  <w:marTop w:val="0"/>
                                                                                                  <w:marBottom w:val="0"/>
                                                                                                  <w:divBdr>
                                                                                                    <w:top w:val="none" w:sz="0" w:space="0" w:color="auto"/>
                                                                                                    <w:left w:val="none" w:sz="0" w:space="0" w:color="auto"/>
                                                                                                    <w:bottom w:val="none" w:sz="0" w:space="0" w:color="auto"/>
                                                                                                    <w:right w:val="none" w:sz="0" w:space="0" w:color="auto"/>
                                                                                                  </w:divBdr>
                                                                                                  <w:divsChild>
                                                                                                    <w:div w:id="1436368036">
                                                                                                      <w:marLeft w:val="0"/>
                                                                                                      <w:marRight w:val="0"/>
                                                                                                      <w:marTop w:val="0"/>
                                                                                                      <w:marBottom w:val="0"/>
                                                                                                      <w:divBdr>
                                                                                                        <w:top w:val="none" w:sz="0" w:space="0" w:color="auto"/>
                                                                                                        <w:left w:val="none" w:sz="0" w:space="0" w:color="auto"/>
                                                                                                        <w:bottom w:val="none" w:sz="0" w:space="0" w:color="auto"/>
                                                                                                        <w:right w:val="none" w:sz="0" w:space="0" w:color="auto"/>
                                                                                                      </w:divBdr>
                                                                                                      <w:divsChild>
                                                                                                        <w:div w:id="1163162861">
                                                                                                          <w:marLeft w:val="0"/>
                                                                                                          <w:marRight w:val="0"/>
                                                                                                          <w:marTop w:val="0"/>
                                                                                                          <w:marBottom w:val="0"/>
                                                                                                          <w:divBdr>
                                                                                                            <w:top w:val="none" w:sz="0" w:space="0" w:color="auto"/>
                                                                                                            <w:left w:val="none" w:sz="0" w:space="0" w:color="auto"/>
                                                                                                            <w:bottom w:val="none" w:sz="0" w:space="0" w:color="auto"/>
                                                                                                            <w:right w:val="none" w:sz="0" w:space="0" w:color="auto"/>
                                                                                                          </w:divBdr>
                                                                                                          <w:divsChild>
                                                                                                            <w:div w:id="31729515">
                                                                                                              <w:marLeft w:val="0"/>
                                                                                                              <w:marRight w:val="0"/>
                                                                                                              <w:marTop w:val="0"/>
                                                                                                              <w:marBottom w:val="0"/>
                                                                                                              <w:divBdr>
                                                                                                                <w:top w:val="none" w:sz="0" w:space="0" w:color="auto"/>
                                                                                                                <w:left w:val="none" w:sz="0" w:space="0" w:color="auto"/>
                                                                                                                <w:bottom w:val="none" w:sz="0" w:space="0" w:color="auto"/>
                                                                                                                <w:right w:val="none" w:sz="0" w:space="0" w:color="auto"/>
                                                                                                              </w:divBdr>
                                                                                                              <w:divsChild>
                                                                                                                <w:div w:id="1050611303">
                                                                                                                  <w:marLeft w:val="0"/>
                                                                                                                  <w:marRight w:val="0"/>
                                                                                                                  <w:marTop w:val="0"/>
                                                                                                                  <w:marBottom w:val="0"/>
                                                                                                                  <w:divBdr>
                                                                                                                    <w:top w:val="none" w:sz="0" w:space="0" w:color="auto"/>
                                                                                                                    <w:left w:val="none" w:sz="0" w:space="0" w:color="auto"/>
                                                                                                                    <w:bottom w:val="none" w:sz="0" w:space="0" w:color="auto"/>
                                                                                                                    <w:right w:val="none" w:sz="0" w:space="0" w:color="auto"/>
                                                                                                                  </w:divBdr>
                                                                                                                  <w:divsChild>
                                                                                                                    <w:div w:id="800998329">
                                                                                                                      <w:marLeft w:val="0"/>
                                                                                                                      <w:marRight w:val="0"/>
                                                                                                                      <w:marTop w:val="0"/>
                                                                                                                      <w:marBottom w:val="0"/>
                                                                                                                      <w:divBdr>
                                                                                                                        <w:top w:val="none" w:sz="0" w:space="0" w:color="auto"/>
                                                                                                                        <w:left w:val="none" w:sz="0" w:space="0" w:color="auto"/>
                                                                                                                        <w:bottom w:val="none" w:sz="0" w:space="0" w:color="auto"/>
                                                                                                                        <w:right w:val="none" w:sz="0" w:space="0" w:color="auto"/>
                                                                                                                      </w:divBdr>
                                                                                                                      <w:divsChild>
                                                                                                                        <w:div w:id="282855622">
                                                                                                                          <w:marLeft w:val="0"/>
                                                                                                                          <w:marRight w:val="0"/>
                                                                                                                          <w:marTop w:val="0"/>
                                                                                                                          <w:marBottom w:val="0"/>
                                                                                                                          <w:divBdr>
                                                                                                                            <w:top w:val="none" w:sz="0" w:space="0" w:color="auto"/>
                                                                                                                            <w:left w:val="none" w:sz="0" w:space="0" w:color="auto"/>
                                                                                                                            <w:bottom w:val="none" w:sz="0" w:space="0" w:color="auto"/>
                                                                                                                            <w:right w:val="none" w:sz="0" w:space="0" w:color="auto"/>
                                                                                                                          </w:divBdr>
                                                                                                                          <w:divsChild>
                                                                                                                            <w:div w:id="188123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quenceinc.com/fraudfiles/2011/11/j2-global-communications-trying-to-hide-accounting-errors/" TargetMode="External"/><Relationship Id="rId3" Type="http://schemas.openxmlformats.org/officeDocument/2006/relationships/settings" Target="settings.xml"/><Relationship Id="rId7" Type="http://schemas.openxmlformats.org/officeDocument/2006/relationships/hyperlink" Target="http://whitecollarfraud.blogspot.com/2011/11/should-j2-global-communications-restate.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radientanalytics.com/" TargetMode="External"/><Relationship Id="rId11" Type="http://schemas.openxmlformats.org/officeDocument/2006/relationships/fontTable" Target="fontTable.xml"/><Relationship Id="rId5" Type="http://schemas.openxmlformats.org/officeDocument/2006/relationships/hyperlink" Target="http://www.sec.gov/Archives/edgar/data/1084048/000107261311000453/form10q_17103.htm" TargetMode="External"/><Relationship Id="rId10" Type="http://schemas.openxmlformats.org/officeDocument/2006/relationships/hyperlink" Target="http://www.sec.gov/Archives/edgar/data/1084048/000000000012000967/filename1.pdf" TargetMode="External"/><Relationship Id="rId4" Type="http://schemas.openxmlformats.org/officeDocument/2006/relationships/webSettings" Target="webSettings.xml"/><Relationship Id="rId9" Type="http://schemas.openxmlformats.org/officeDocument/2006/relationships/hyperlink" Target="http://www.sec.gov/Archives/edgar/data/1084048/000107261312000002/filename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1115</Words>
  <Characters>6358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Villanova University</Company>
  <LinksUpToDate>false</LinksUpToDate>
  <CharactersWithSpaces>7459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Catanach</dc:creator>
  <cp:lastModifiedBy>Ed Ketz</cp:lastModifiedBy>
  <cp:revision>5</cp:revision>
  <cp:lastPrinted>2011-08-13T14:23:00Z</cp:lastPrinted>
  <dcterms:created xsi:type="dcterms:W3CDTF">2012-03-07T18:57:00Z</dcterms:created>
  <dcterms:modified xsi:type="dcterms:W3CDTF">2012-03-07T19:16:00Z</dcterms:modified>
</cp:coreProperties>
</file>