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9E4B9A" w:rsidP="00E81155">
      <w:pPr>
        <w:rPr>
          <w:rFonts w:ascii="Arial" w:hAnsi="Arial" w:cs="Arial"/>
          <w:b/>
          <w:sz w:val="28"/>
          <w:szCs w:val="28"/>
        </w:rPr>
      </w:pPr>
      <w:r>
        <w:rPr>
          <w:rFonts w:ascii="Arial" w:hAnsi="Arial" w:cs="Arial"/>
          <w:b/>
          <w:sz w:val="28"/>
          <w:szCs w:val="28"/>
        </w:rPr>
        <w:t>CVS CAREMARK: WHY OPERATING LEASES MUST BE CAPITALIZED</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72083E">
        <w:rPr>
          <w:rFonts w:ascii="Arial" w:hAnsi="Arial" w:cs="Arial"/>
          <w:b/>
          <w:i/>
          <w:sz w:val="24"/>
          <w:szCs w:val="24"/>
        </w:rPr>
        <w:t>March</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Pr="00656A82" w:rsidRDefault="00BF4CC9" w:rsidP="00DA29E6">
      <w:pPr>
        <w:rPr>
          <w:rFonts w:ascii="Verdana" w:hAnsi="Verdana" w:cs="Arial"/>
          <w:sz w:val="24"/>
          <w:szCs w:val="24"/>
        </w:rPr>
      </w:pPr>
    </w:p>
    <w:p w:rsidR="00A61C2C" w:rsidRPr="00656A82" w:rsidRDefault="00A61C2C" w:rsidP="00DA29E6">
      <w:pPr>
        <w:rPr>
          <w:rFonts w:ascii="Verdana" w:hAnsi="Verdana" w:cs="Arial"/>
          <w:sz w:val="24"/>
          <w:szCs w:val="24"/>
        </w:rPr>
      </w:pPr>
    </w:p>
    <w:p w:rsidR="00A61C2C" w:rsidRPr="00656A82" w:rsidRDefault="00A61C2C" w:rsidP="00A61C2C">
      <w:pPr>
        <w:rPr>
          <w:rFonts w:ascii="Verdana" w:hAnsi="Verdana" w:cs="Arial"/>
          <w:sz w:val="24"/>
          <w:szCs w:val="24"/>
        </w:rPr>
      </w:pPr>
    </w:p>
    <w:p w:rsidR="00797B40" w:rsidRPr="00656A82" w:rsidRDefault="00797B40" w:rsidP="00A61C2C">
      <w:pPr>
        <w:rPr>
          <w:rFonts w:ascii="Verdana" w:hAnsi="Verdana" w:cs="Arial"/>
          <w:sz w:val="24"/>
          <w:szCs w:val="24"/>
        </w:rPr>
      </w:pPr>
      <w:r w:rsidRPr="00656A82">
        <w:rPr>
          <w:rFonts w:ascii="Verdana" w:hAnsi="Verdana" w:cs="Arial"/>
          <w:sz w:val="24"/>
          <w:szCs w:val="24"/>
        </w:rPr>
        <w:t>In his autobiography, Mark Twain discussed “lies, damned lies, and statistics,” attributing the phrase to Disraeli.  We think Twain was mistaken, because the coiner of that phrase must have been an accountant</w:t>
      </w:r>
      <w:r w:rsidR="00174097" w:rsidRPr="00656A82">
        <w:rPr>
          <w:rFonts w:ascii="Verdana" w:hAnsi="Verdana" w:cs="Arial"/>
          <w:sz w:val="24"/>
          <w:szCs w:val="24"/>
        </w:rPr>
        <w:t>.</w:t>
      </w:r>
      <w:r w:rsidRPr="00656A82">
        <w:rPr>
          <w:rFonts w:ascii="Verdana" w:hAnsi="Verdana" w:cs="Arial"/>
          <w:sz w:val="24"/>
          <w:szCs w:val="24"/>
        </w:rPr>
        <w:t xml:space="preserve"> </w:t>
      </w:r>
      <w:r w:rsidR="00174097" w:rsidRPr="00656A82">
        <w:rPr>
          <w:rFonts w:ascii="Verdana" w:hAnsi="Verdana" w:cs="Arial"/>
          <w:sz w:val="24"/>
          <w:szCs w:val="24"/>
        </w:rPr>
        <w:t xml:space="preserve"> </w:t>
      </w:r>
      <w:r w:rsidR="00D94D28">
        <w:rPr>
          <w:rFonts w:ascii="Verdana" w:hAnsi="Verdana" w:cs="Arial"/>
          <w:sz w:val="24"/>
          <w:szCs w:val="24"/>
        </w:rPr>
        <w:t>W</w:t>
      </w:r>
      <w:r w:rsidRPr="00656A82">
        <w:rPr>
          <w:rFonts w:ascii="Verdana" w:hAnsi="Verdana" w:cs="Arial"/>
          <w:sz w:val="24"/>
          <w:szCs w:val="24"/>
        </w:rPr>
        <w:t xml:space="preserve">e </w:t>
      </w:r>
      <w:r w:rsidR="00D94D28">
        <w:rPr>
          <w:rFonts w:ascii="Verdana" w:hAnsi="Verdana" w:cs="Arial"/>
          <w:sz w:val="24"/>
          <w:szCs w:val="24"/>
        </w:rPr>
        <w:t xml:space="preserve">surmise this because he </w:t>
      </w:r>
      <w:r w:rsidRPr="00656A82">
        <w:rPr>
          <w:rFonts w:ascii="Verdana" w:hAnsi="Verdana" w:cs="Arial"/>
          <w:sz w:val="24"/>
          <w:szCs w:val="24"/>
        </w:rPr>
        <w:t xml:space="preserve">was obviously talking about </w:t>
      </w:r>
      <w:r w:rsidR="00174097" w:rsidRPr="00656A82">
        <w:rPr>
          <w:rFonts w:ascii="Verdana" w:hAnsi="Verdana" w:cs="Arial"/>
          <w:sz w:val="24"/>
          <w:szCs w:val="24"/>
        </w:rPr>
        <w:t xml:space="preserve">accounting for </w:t>
      </w:r>
      <w:r w:rsidRPr="00656A82">
        <w:rPr>
          <w:rFonts w:ascii="Verdana" w:hAnsi="Verdana" w:cs="Arial"/>
          <w:sz w:val="24"/>
          <w:szCs w:val="24"/>
        </w:rPr>
        <w:t>operating leases.</w:t>
      </w:r>
    </w:p>
    <w:p w:rsidR="00797B40" w:rsidRPr="00656A82" w:rsidRDefault="00797B40" w:rsidP="00A61C2C">
      <w:pPr>
        <w:rPr>
          <w:rFonts w:ascii="Verdana" w:hAnsi="Verdana" w:cs="Arial"/>
          <w:sz w:val="24"/>
          <w:szCs w:val="24"/>
        </w:rPr>
      </w:pPr>
    </w:p>
    <w:p w:rsidR="00A61C2C" w:rsidRPr="00656A82" w:rsidRDefault="00A61C2C" w:rsidP="00A61C2C">
      <w:pPr>
        <w:pStyle w:val="BodyText"/>
        <w:spacing w:line="240" w:lineRule="auto"/>
        <w:rPr>
          <w:rFonts w:ascii="Verdana" w:hAnsi="Verdana"/>
          <w:szCs w:val="24"/>
        </w:rPr>
      </w:pPr>
      <w:r w:rsidRPr="00656A82">
        <w:rPr>
          <w:rFonts w:ascii="Verdana" w:hAnsi="Verdana"/>
          <w:szCs w:val="24"/>
        </w:rPr>
        <w:t xml:space="preserve">Accounting for </w:t>
      </w:r>
      <w:r w:rsidR="006C0D38" w:rsidRPr="00656A82">
        <w:rPr>
          <w:rFonts w:ascii="Verdana" w:hAnsi="Verdana"/>
          <w:szCs w:val="24"/>
        </w:rPr>
        <w:t xml:space="preserve">operating </w:t>
      </w:r>
      <w:r w:rsidRPr="00656A82">
        <w:rPr>
          <w:rFonts w:ascii="Verdana" w:hAnsi="Verdana"/>
          <w:szCs w:val="24"/>
        </w:rPr>
        <w:t>lessees remains ridiculous, absurd, contorted, distorted, and illogical.  By allowing business enterprises to ignore the reality of some leases</w:t>
      </w:r>
      <w:r w:rsidR="00AD6A29">
        <w:rPr>
          <w:rFonts w:ascii="Verdana" w:hAnsi="Verdana"/>
          <w:szCs w:val="24"/>
        </w:rPr>
        <w:t xml:space="preserve">, </w:t>
      </w:r>
      <w:r w:rsidRPr="00656A82">
        <w:rPr>
          <w:rFonts w:ascii="Verdana" w:hAnsi="Verdana"/>
          <w:szCs w:val="24"/>
        </w:rPr>
        <w:t>and not to report the economic effects on the financial statements, the FASB has been an accessory to the accounting games played by corporate managers.</w:t>
      </w:r>
    </w:p>
    <w:p w:rsidR="00797B40" w:rsidRPr="00656A82" w:rsidRDefault="00797B40" w:rsidP="00A61C2C">
      <w:pPr>
        <w:pStyle w:val="BodyText"/>
        <w:spacing w:line="240" w:lineRule="auto"/>
        <w:rPr>
          <w:rFonts w:ascii="Verdana" w:hAnsi="Verdana"/>
          <w:szCs w:val="24"/>
        </w:rPr>
      </w:pPr>
    </w:p>
    <w:p w:rsidR="00A61C2C" w:rsidRPr="00656A82" w:rsidRDefault="005B5C4B" w:rsidP="00A61C2C">
      <w:pPr>
        <w:pStyle w:val="BodyText"/>
        <w:spacing w:line="240" w:lineRule="auto"/>
        <w:rPr>
          <w:rFonts w:ascii="Verdana" w:hAnsi="Verdana"/>
          <w:szCs w:val="24"/>
        </w:rPr>
      </w:pPr>
      <w:r w:rsidRPr="00656A82">
        <w:rPr>
          <w:rFonts w:ascii="Verdana" w:hAnsi="Verdana"/>
          <w:szCs w:val="24"/>
        </w:rPr>
        <w:t>I</w:t>
      </w:r>
      <w:r w:rsidR="00A61C2C" w:rsidRPr="00656A82">
        <w:rPr>
          <w:rFonts w:ascii="Verdana" w:hAnsi="Verdana"/>
          <w:szCs w:val="24"/>
        </w:rPr>
        <w:t>ssued in November 1976</w:t>
      </w:r>
      <w:r w:rsidR="00F11B2D" w:rsidRPr="00656A82">
        <w:rPr>
          <w:rFonts w:ascii="Verdana" w:hAnsi="Verdana"/>
          <w:szCs w:val="24"/>
        </w:rPr>
        <w:t xml:space="preserve">, </w:t>
      </w:r>
      <w:r w:rsidR="00AD6A29">
        <w:rPr>
          <w:rFonts w:ascii="Verdana" w:hAnsi="Verdana"/>
          <w:szCs w:val="24"/>
        </w:rPr>
        <w:t xml:space="preserve">shortly after these two Grumpy Old Accountants graduated from college, </w:t>
      </w:r>
      <w:r w:rsidR="00F11B2D" w:rsidRPr="00656A82">
        <w:rPr>
          <w:rFonts w:ascii="Verdana" w:hAnsi="Verdana"/>
          <w:szCs w:val="24"/>
        </w:rPr>
        <w:t>Statement</w:t>
      </w:r>
      <w:r w:rsidR="00797B40" w:rsidRPr="00656A82">
        <w:rPr>
          <w:rFonts w:ascii="Verdana" w:hAnsi="Verdana"/>
          <w:szCs w:val="24"/>
        </w:rPr>
        <w:t xml:space="preserve"> No. 13 still </w:t>
      </w:r>
      <w:r w:rsidR="00A61C2C" w:rsidRPr="00656A82">
        <w:rPr>
          <w:rFonts w:ascii="Verdana" w:hAnsi="Verdana"/>
          <w:szCs w:val="24"/>
        </w:rPr>
        <w:t xml:space="preserve">governs the accounting for lessees.  The statement </w:t>
      </w:r>
      <w:r w:rsidR="00AD6A29">
        <w:rPr>
          <w:rFonts w:ascii="Verdana" w:hAnsi="Verdana"/>
          <w:szCs w:val="24"/>
        </w:rPr>
        <w:t>“</w:t>
      </w:r>
      <w:r w:rsidR="00A61C2C" w:rsidRPr="00656A82">
        <w:rPr>
          <w:rFonts w:ascii="Verdana" w:hAnsi="Verdana"/>
          <w:szCs w:val="24"/>
        </w:rPr>
        <w:t>invents</w:t>
      </w:r>
      <w:r w:rsidR="00AD6A29">
        <w:rPr>
          <w:rFonts w:ascii="Verdana" w:hAnsi="Verdana"/>
          <w:szCs w:val="24"/>
        </w:rPr>
        <w:t xml:space="preserve">” </w:t>
      </w:r>
      <w:r w:rsidR="00A61C2C" w:rsidRPr="00656A82">
        <w:rPr>
          <w:rFonts w:ascii="Verdana" w:hAnsi="Verdana"/>
          <w:szCs w:val="24"/>
        </w:rPr>
        <w:t>two classes, capital leases and operating leases.  In a cap</w:t>
      </w:r>
      <w:r w:rsidR="00867351">
        <w:rPr>
          <w:rFonts w:ascii="Verdana" w:hAnsi="Verdana"/>
          <w:szCs w:val="24"/>
        </w:rPr>
        <w:t xml:space="preserve">ital lease, the firm records an asset and an obligation for the leased property equal to </w:t>
      </w:r>
      <w:r w:rsidR="00AD6A29" w:rsidRPr="00656A82">
        <w:rPr>
          <w:rFonts w:ascii="Verdana" w:hAnsi="Verdana"/>
          <w:szCs w:val="24"/>
        </w:rPr>
        <w:t xml:space="preserve">the present value of </w:t>
      </w:r>
      <w:r w:rsidR="00867351">
        <w:rPr>
          <w:rFonts w:ascii="Verdana" w:hAnsi="Verdana"/>
          <w:szCs w:val="24"/>
        </w:rPr>
        <w:t xml:space="preserve">the </w:t>
      </w:r>
      <w:r w:rsidR="00AD6A29" w:rsidRPr="00656A82">
        <w:rPr>
          <w:rFonts w:ascii="Verdana" w:hAnsi="Verdana"/>
          <w:szCs w:val="24"/>
        </w:rPr>
        <w:t>future cash flows</w:t>
      </w:r>
      <w:r w:rsidR="00867351">
        <w:rPr>
          <w:rFonts w:ascii="Verdana" w:hAnsi="Verdana"/>
          <w:szCs w:val="24"/>
        </w:rPr>
        <w:t xml:space="preserve"> specified in the lease agreement (not to exceed its fair value). Going forward, companies must report depreciation for the capitalized asset, as well as interest expense and principal payments for</w:t>
      </w:r>
      <w:r w:rsidR="00AD6A29" w:rsidRPr="00656A82">
        <w:rPr>
          <w:rFonts w:ascii="Verdana" w:hAnsi="Verdana"/>
          <w:szCs w:val="24"/>
        </w:rPr>
        <w:t xml:space="preserve"> the lease obligation</w:t>
      </w:r>
      <w:r w:rsidR="00A61C2C" w:rsidRPr="00656A82">
        <w:rPr>
          <w:rFonts w:ascii="Verdana" w:hAnsi="Verdana"/>
          <w:szCs w:val="24"/>
        </w:rPr>
        <w:t xml:space="preserve">.  </w:t>
      </w:r>
      <w:r w:rsidR="00867351">
        <w:rPr>
          <w:rFonts w:ascii="Verdana" w:hAnsi="Verdana"/>
          <w:szCs w:val="24"/>
        </w:rPr>
        <w:t xml:space="preserve">In contrast, for </w:t>
      </w:r>
      <w:r w:rsidR="00A61C2C" w:rsidRPr="00656A82">
        <w:rPr>
          <w:rFonts w:ascii="Verdana" w:hAnsi="Verdana"/>
          <w:szCs w:val="24"/>
        </w:rPr>
        <w:t>operating lease</w:t>
      </w:r>
      <w:r w:rsidR="00867351">
        <w:rPr>
          <w:rFonts w:ascii="Verdana" w:hAnsi="Verdana"/>
          <w:szCs w:val="24"/>
        </w:rPr>
        <w:t xml:space="preserve">s, an </w:t>
      </w:r>
      <w:r w:rsidR="00A61C2C" w:rsidRPr="00656A82">
        <w:rPr>
          <w:rFonts w:ascii="Verdana" w:hAnsi="Verdana"/>
          <w:szCs w:val="24"/>
        </w:rPr>
        <w:t xml:space="preserve">entity </w:t>
      </w:r>
      <w:r w:rsidR="00867351">
        <w:rPr>
          <w:rFonts w:ascii="Verdana" w:hAnsi="Verdana"/>
          <w:szCs w:val="24"/>
        </w:rPr>
        <w:t xml:space="preserve">completely </w:t>
      </w:r>
      <w:r w:rsidR="00A61C2C" w:rsidRPr="00656A82">
        <w:rPr>
          <w:rFonts w:ascii="Verdana" w:hAnsi="Verdana"/>
          <w:szCs w:val="24"/>
        </w:rPr>
        <w:t>i</w:t>
      </w:r>
      <w:r w:rsidR="00867351">
        <w:rPr>
          <w:rFonts w:ascii="Verdana" w:hAnsi="Verdana"/>
          <w:szCs w:val="24"/>
        </w:rPr>
        <w:t xml:space="preserve">gnores its property rights and obligations; the only thing it does is </w:t>
      </w:r>
      <w:r w:rsidR="00A61C2C" w:rsidRPr="00656A82">
        <w:rPr>
          <w:rFonts w:ascii="Verdana" w:hAnsi="Verdana"/>
          <w:szCs w:val="24"/>
        </w:rPr>
        <w:t>book rent expense.</w:t>
      </w:r>
    </w:p>
    <w:p w:rsidR="00797B40" w:rsidRPr="00656A82" w:rsidRDefault="00797B40" w:rsidP="00A61C2C">
      <w:pPr>
        <w:pStyle w:val="BodyText"/>
        <w:spacing w:line="240" w:lineRule="auto"/>
        <w:rPr>
          <w:rFonts w:ascii="Verdana" w:hAnsi="Verdana"/>
          <w:szCs w:val="24"/>
        </w:rPr>
      </w:pPr>
    </w:p>
    <w:p w:rsidR="00A61C2C" w:rsidRPr="00656A82" w:rsidRDefault="00A61C2C" w:rsidP="00A61C2C">
      <w:pPr>
        <w:pStyle w:val="BodyText"/>
        <w:spacing w:line="240" w:lineRule="auto"/>
        <w:rPr>
          <w:rFonts w:ascii="Verdana" w:hAnsi="Verdana"/>
          <w:szCs w:val="24"/>
        </w:rPr>
      </w:pPr>
      <w:r w:rsidRPr="00656A82">
        <w:rPr>
          <w:rFonts w:ascii="Verdana" w:hAnsi="Verdana"/>
          <w:szCs w:val="24"/>
        </w:rPr>
        <w:t>S</w:t>
      </w:r>
      <w:r w:rsidR="00867351">
        <w:rPr>
          <w:rFonts w:ascii="Verdana" w:hAnsi="Verdana"/>
          <w:szCs w:val="24"/>
        </w:rPr>
        <w:t>ophisticated users adjust</w:t>
      </w:r>
      <w:r w:rsidRPr="00656A82">
        <w:rPr>
          <w:rFonts w:ascii="Verdana" w:hAnsi="Verdana"/>
          <w:szCs w:val="24"/>
        </w:rPr>
        <w:t xml:space="preserve"> for this </w:t>
      </w:r>
      <w:r w:rsidR="00797B40" w:rsidRPr="00656A82">
        <w:rPr>
          <w:rFonts w:ascii="Verdana" w:hAnsi="Verdana"/>
          <w:szCs w:val="24"/>
        </w:rPr>
        <w:t>nonsense</w:t>
      </w:r>
      <w:r w:rsidR="00867351">
        <w:rPr>
          <w:rFonts w:ascii="Verdana" w:hAnsi="Verdana"/>
          <w:szCs w:val="24"/>
        </w:rPr>
        <w:t xml:space="preserve"> via </w:t>
      </w:r>
      <w:r w:rsidRPr="00656A82">
        <w:rPr>
          <w:rFonts w:ascii="Verdana" w:hAnsi="Verdana"/>
          <w:szCs w:val="24"/>
        </w:rPr>
        <w:t>analytical adjustments or reverse engineering.  Employing the data available to them</w:t>
      </w:r>
      <w:r w:rsidR="00867351">
        <w:rPr>
          <w:rFonts w:ascii="Verdana" w:hAnsi="Verdana"/>
          <w:szCs w:val="24"/>
        </w:rPr>
        <w:t xml:space="preserve"> in the financial statement contingency note, they </w:t>
      </w:r>
      <w:r w:rsidRPr="00656A82">
        <w:rPr>
          <w:rFonts w:ascii="Verdana" w:hAnsi="Verdana"/>
          <w:szCs w:val="24"/>
        </w:rPr>
        <w:t>undo the effects of the operating leases</w:t>
      </w:r>
      <w:r w:rsidR="00867351">
        <w:rPr>
          <w:rFonts w:ascii="Verdana" w:hAnsi="Verdana"/>
          <w:szCs w:val="24"/>
        </w:rPr>
        <w:t>, and then compute</w:t>
      </w:r>
      <w:r w:rsidRPr="00656A82">
        <w:rPr>
          <w:rFonts w:ascii="Verdana" w:hAnsi="Verdana"/>
          <w:szCs w:val="24"/>
        </w:rPr>
        <w:t xml:space="preserve"> the </w:t>
      </w:r>
      <w:r w:rsidR="00867351">
        <w:rPr>
          <w:rFonts w:ascii="Verdana" w:hAnsi="Verdana"/>
          <w:szCs w:val="24"/>
        </w:rPr>
        <w:t xml:space="preserve">“off balance sheet” </w:t>
      </w:r>
      <w:r w:rsidRPr="00656A82">
        <w:rPr>
          <w:rFonts w:ascii="Verdana" w:hAnsi="Verdana"/>
          <w:szCs w:val="24"/>
        </w:rPr>
        <w:t>effects of the capital leases.  The differences</w:t>
      </w:r>
      <w:r w:rsidR="00797B40" w:rsidRPr="00656A82">
        <w:rPr>
          <w:rFonts w:ascii="Verdana" w:hAnsi="Verdana"/>
          <w:szCs w:val="24"/>
        </w:rPr>
        <w:t xml:space="preserve"> v</w:t>
      </w:r>
      <w:r w:rsidR="00F11B2D">
        <w:rPr>
          <w:rFonts w:ascii="Verdana" w:hAnsi="Verdana"/>
          <w:szCs w:val="24"/>
        </w:rPr>
        <w:t>a</w:t>
      </w:r>
      <w:r w:rsidR="00797B40" w:rsidRPr="00656A82">
        <w:rPr>
          <w:rFonts w:ascii="Verdana" w:hAnsi="Verdana"/>
          <w:szCs w:val="24"/>
        </w:rPr>
        <w:t xml:space="preserve">ry in impact, depending on the amount of operating leases versus </w:t>
      </w:r>
      <w:r w:rsidR="00867351">
        <w:rPr>
          <w:rFonts w:ascii="Verdana" w:hAnsi="Verdana"/>
          <w:szCs w:val="24"/>
        </w:rPr>
        <w:t xml:space="preserve">the rest of the asset and </w:t>
      </w:r>
      <w:r w:rsidR="00797B40" w:rsidRPr="00656A82">
        <w:rPr>
          <w:rFonts w:ascii="Verdana" w:hAnsi="Verdana"/>
          <w:szCs w:val="24"/>
        </w:rPr>
        <w:t>capital structure</w:t>
      </w:r>
      <w:r w:rsidRPr="00656A82">
        <w:rPr>
          <w:rFonts w:ascii="Verdana" w:hAnsi="Verdana"/>
          <w:szCs w:val="24"/>
        </w:rPr>
        <w:t xml:space="preserve">.  </w:t>
      </w:r>
      <w:r w:rsidR="00797B40" w:rsidRPr="00656A82">
        <w:rPr>
          <w:rFonts w:ascii="Verdana" w:hAnsi="Verdana"/>
          <w:szCs w:val="24"/>
        </w:rPr>
        <w:t xml:space="preserve">We shall </w:t>
      </w:r>
      <w:r w:rsidR="00867351">
        <w:rPr>
          <w:rFonts w:ascii="Verdana" w:hAnsi="Verdana"/>
          <w:szCs w:val="24"/>
        </w:rPr>
        <w:t>illustrate these differences</w:t>
      </w:r>
      <w:r w:rsidRPr="00656A82">
        <w:rPr>
          <w:rFonts w:ascii="Verdana" w:hAnsi="Verdana"/>
          <w:szCs w:val="24"/>
        </w:rPr>
        <w:t xml:space="preserve"> by adjusting the numbers for</w:t>
      </w:r>
      <w:r w:rsidR="00797B40" w:rsidRPr="00656A82">
        <w:rPr>
          <w:rFonts w:ascii="Verdana" w:hAnsi="Verdana"/>
          <w:szCs w:val="24"/>
        </w:rPr>
        <w:t xml:space="preserve"> </w:t>
      </w:r>
      <w:r w:rsidR="001834C7">
        <w:rPr>
          <w:rFonts w:ascii="Verdana" w:hAnsi="Verdana"/>
          <w:szCs w:val="24"/>
        </w:rPr>
        <w:t>CVS Caremark</w:t>
      </w:r>
      <w:r w:rsidRPr="00656A82">
        <w:rPr>
          <w:rFonts w:ascii="Verdana" w:hAnsi="Verdana"/>
          <w:szCs w:val="24"/>
        </w:rPr>
        <w:t>.</w:t>
      </w:r>
      <w:r w:rsidR="00797B40" w:rsidRPr="00656A82">
        <w:rPr>
          <w:rFonts w:ascii="Verdana" w:hAnsi="Verdana"/>
          <w:szCs w:val="24"/>
        </w:rPr>
        <w:t xml:space="preserve">  </w:t>
      </w:r>
      <w:r w:rsidR="0093354B">
        <w:rPr>
          <w:rFonts w:ascii="Verdana" w:hAnsi="Verdana"/>
          <w:szCs w:val="24"/>
        </w:rPr>
        <w:t>W</w:t>
      </w:r>
      <w:r w:rsidR="001834C7">
        <w:rPr>
          <w:rFonts w:ascii="Verdana" w:hAnsi="Verdana"/>
          <w:szCs w:val="24"/>
        </w:rPr>
        <w:t xml:space="preserve">e </w:t>
      </w:r>
      <w:r w:rsidR="0093354B">
        <w:rPr>
          <w:rFonts w:ascii="Verdana" w:hAnsi="Verdana"/>
          <w:szCs w:val="24"/>
        </w:rPr>
        <w:t xml:space="preserve">will show that </w:t>
      </w:r>
      <w:r w:rsidR="001834C7">
        <w:rPr>
          <w:rFonts w:ascii="Verdana" w:hAnsi="Verdana"/>
          <w:szCs w:val="24"/>
        </w:rPr>
        <w:t>the effects of capitalization are huge</w:t>
      </w:r>
      <w:r w:rsidR="00BB70EE">
        <w:rPr>
          <w:rFonts w:ascii="Verdana" w:hAnsi="Verdana"/>
          <w:szCs w:val="24"/>
        </w:rPr>
        <w:t xml:space="preserve"> for this business entity</w:t>
      </w:r>
      <w:r w:rsidR="001834C7">
        <w:rPr>
          <w:rFonts w:ascii="Verdana" w:hAnsi="Verdana"/>
          <w:szCs w:val="24"/>
        </w:rPr>
        <w:t>.</w:t>
      </w:r>
    </w:p>
    <w:p w:rsidR="00797B40" w:rsidRPr="00656A82" w:rsidRDefault="00797B40" w:rsidP="00A61C2C">
      <w:pPr>
        <w:pStyle w:val="BodyText"/>
        <w:spacing w:line="240" w:lineRule="auto"/>
        <w:rPr>
          <w:rFonts w:ascii="Verdana" w:hAnsi="Verdana"/>
          <w:szCs w:val="24"/>
        </w:rPr>
      </w:pPr>
    </w:p>
    <w:p w:rsidR="00A61C2C" w:rsidRPr="00656A82" w:rsidRDefault="00A61C2C" w:rsidP="00A61C2C">
      <w:pPr>
        <w:pStyle w:val="BodyText"/>
        <w:spacing w:line="240" w:lineRule="auto"/>
        <w:rPr>
          <w:rFonts w:ascii="Verdana" w:hAnsi="Verdana"/>
          <w:szCs w:val="24"/>
        </w:rPr>
      </w:pPr>
      <w:r w:rsidRPr="00656A82">
        <w:rPr>
          <w:rFonts w:ascii="Verdana" w:hAnsi="Verdana"/>
          <w:szCs w:val="24"/>
        </w:rPr>
        <w:t>This adjustment process consists of seven steps:</w:t>
      </w:r>
      <w:r w:rsidR="0093354B">
        <w:rPr>
          <w:rFonts w:ascii="Verdana" w:hAnsi="Verdana"/>
          <w:szCs w:val="24"/>
        </w:rPr>
        <w:br/>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Find the lease cash payments.</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Choose an appropriate rate of interest.</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Compute the leased assets and the lease obligations as the present value of the future cash payments.</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lastRenderedPageBreak/>
        <w:t>Estimate the life of the leased assets and their current age.  With these assumptions, calculate depreciation expense and accumulated depreciation.</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Estimate the interest expense.</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Estimate the change in income taxes and deferred income taxes.</w:t>
      </w:r>
    </w:p>
    <w:p w:rsidR="00A61C2C" w:rsidRPr="00656A82" w:rsidRDefault="00A61C2C" w:rsidP="00797B40">
      <w:pPr>
        <w:pStyle w:val="BodyText"/>
        <w:numPr>
          <w:ilvl w:val="0"/>
          <w:numId w:val="15"/>
        </w:numPr>
        <w:spacing w:line="240" w:lineRule="auto"/>
        <w:rPr>
          <w:rFonts w:ascii="Verdana" w:hAnsi="Verdana"/>
          <w:szCs w:val="24"/>
        </w:rPr>
      </w:pPr>
      <w:r w:rsidRPr="00656A82">
        <w:rPr>
          <w:rFonts w:ascii="Verdana" w:hAnsi="Verdana"/>
          <w:szCs w:val="24"/>
        </w:rPr>
        <w:t>With these adjustments, prepare the adjusted income statement and the adjusted balance sheet.</w:t>
      </w:r>
    </w:p>
    <w:p w:rsidR="00797B40" w:rsidRDefault="00797B40" w:rsidP="00797B40">
      <w:pPr>
        <w:pStyle w:val="BodyText"/>
        <w:spacing w:line="240" w:lineRule="auto"/>
        <w:rPr>
          <w:rFonts w:ascii="Verdana" w:hAnsi="Verdana"/>
          <w:szCs w:val="24"/>
        </w:rPr>
      </w:pPr>
    </w:p>
    <w:p w:rsidR="00157DE0" w:rsidRPr="00656A82" w:rsidRDefault="00157DE0" w:rsidP="00797B40">
      <w:pPr>
        <w:pStyle w:val="BodyText"/>
        <w:spacing w:line="240" w:lineRule="auto"/>
        <w:rPr>
          <w:rFonts w:ascii="Verdana" w:hAnsi="Verdana"/>
          <w:szCs w:val="24"/>
        </w:rPr>
      </w:pPr>
    </w:p>
    <w:p w:rsidR="00A61C2C" w:rsidRPr="00656A82" w:rsidRDefault="00797B40" w:rsidP="00A61C2C">
      <w:pPr>
        <w:pStyle w:val="BodyText"/>
        <w:spacing w:line="240" w:lineRule="auto"/>
        <w:rPr>
          <w:rFonts w:ascii="Verdana" w:hAnsi="Verdana"/>
          <w:szCs w:val="24"/>
        </w:rPr>
      </w:pPr>
      <w:r w:rsidRPr="00656A82">
        <w:rPr>
          <w:rFonts w:ascii="Verdana" w:hAnsi="Verdana"/>
          <w:szCs w:val="24"/>
        </w:rPr>
        <w:t xml:space="preserve">We carried out these steps for </w:t>
      </w:r>
      <w:hyperlink r:id="rId5" w:history="1">
        <w:r w:rsidR="001834C7" w:rsidRPr="001834C7">
          <w:rPr>
            <w:rStyle w:val="Hyperlink"/>
            <w:rFonts w:ascii="Verdana" w:hAnsi="Verdana"/>
            <w:szCs w:val="24"/>
          </w:rPr>
          <w:t>CVS Caremark</w:t>
        </w:r>
        <w:r w:rsidRPr="001834C7">
          <w:rPr>
            <w:rStyle w:val="Hyperlink"/>
            <w:rFonts w:ascii="Verdana" w:hAnsi="Verdana"/>
            <w:szCs w:val="24"/>
          </w:rPr>
          <w:t xml:space="preserve"> using its </w:t>
        </w:r>
        <w:r w:rsidR="001834C7" w:rsidRPr="001834C7">
          <w:rPr>
            <w:rStyle w:val="Hyperlink"/>
            <w:rFonts w:ascii="Verdana" w:hAnsi="Verdana"/>
            <w:szCs w:val="24"/>
          </w:rPr>
          <w:t>annual</w:t>
        </w:r>
        <w:r w:rsidRPr="001834C7">
          <w:rPr>
            <w:rStyle w:val="Hyperlink"/>
            <w:rFonts w:ascii="Verdana" w:hAnsi="Verdana"/>
            <w:szCs w:val="24"/>
          </w:rPr>
          <w:t xml:space="preserve"> </w:t>
        </w:r>
        <w:r w:rsidR="00157DE0">
          <w:rPr>
            <w:rStyle w:val="Hyperlink"/>
            <w:rFonts w:ascii="Verdana" w:hAnsi="Verdana"/>
            <w:szCs w:val="24"/>
          </w:rPr>
          <w:t xml:space="preserve">report </w:t>
        </w:r>
        <w:r w:rsidRPr="001834C7">
          <w:rPr>
            <w:rStyle w:val="Hyperlink"/>
            <w:rFonts w:ascii="Verdana" w:hAnsi="Verdana"/>
            <w:szCs w:val="24"/>
          </w:rPr>
          <w:t>for 201</w:t>
        </w:r>
        <w:r w:rsidR="001834C7" w:rsidRPr="001834C7">
          <w:rPr>
            <w:rStyle w:val="Hyperlink"/>
            <w:rFonts w:ascii="Verdana" w:hAnsi="Verdana"/>
            <w:szCs w:val="24"/>
          </w:rPr>
          <w:t>1</w:t>
        </w:r>
      </w:hyperlink>
      <w:r w:rsidRPr="00656A82">
        <w:rPr>
          <w:rFonts w:ascii="Verdana" w:hAnsi="Verdana"/>
          <w:szCs w:val="24"/>
        </w:rPr>
        <w:t>.  We</w:t>
      </w:r>
      <w:r w:rsidR="00A61C2C" w:rsidRPr="00656A82">
        <w:rPr>
          <w:rFonts w:ascii="Verdana" w:hAnsi="Verdana"/>
          <w:szCs w:val="24"/>
        </w:rPr>
        <w:t xml:space="preserve"> obtain</w:t>
      </w:r>
      <w:r w:rsidRPr="00656A82">
        <w:rPr>
          <w:rFonts w:ascii="Verdana" w:hAnsi="Verdana"/>
          <w:szCs w:val="24"/>
        </w:rPr>
        <w:t xml:space="preserve">ed </w:t>
      </w:r>
      <w:r w:rsidR="00A61C2C" w:rsidRPr="00656A82">
        <w:rPr>
          <w:rFonts w:ascii="Verdana" w:hAnsi="Verdana"/>
          <w:szCs w:val="24"/>
        </w:rPr>
        <w:t xml:space="preserve">the following results (dollar amounts in </w:t>
      </w:r>
      <w:r w:rsidR="00D11F6F" w:rsidRPr="00656A82">
        <w:rPr>
          <w:rFonts w:ascii="Verdana" w:hAnsi="Verdana"/>
          <w:szCs w:val="24"/>
        </w:rPr>
        <w:t>millions</w:t>
      </w:r>
      <w:r w:rsidR="00A61C2C" w:rsidRPr="00656A82">
        <w:rPr>
          <w:rFonts w:ascii="Verdana" w:hAnsi="Verdana"/>
          <w:szCs w:val="24"/>
        </w:rPr>
        <w:t xml:space="preserve"> of dollars).</w:t>
      </w:r>
    </w:p>
    <w:p w:rsidR="00797B40" w:rsidRDefault="00797B40" w:rsidP="00A61C2C">
      <w:pPr>
        <w:pStyle w:val="BodyText"/>
        <w:spacing w:line="240" w:lineRule="auto"/>
        <w:rPr>
          <w:rFonts w:ascii="Verdana" w:hAnsi="Verdana"/>
          <w:szCs w:val="24"/>
        </w:rPr>
      </w:pPr>
    </w:p>
    <w:p w:rsidR="00157DE0" w:rsidRPr="00656A82" w:rsidRDefault="00157DE0" w:rsidP="00A61C2C">
      <w:pPr>
        <w:pStyle w:val="BodyText"/>
        <w:spacing w:line="240" w:lineRule="auto"/>
        <w:rPr>
          <w:rFonts w:ascii="Verdana" w:hAnsi="Verdana"/>
          <w:szCs w:val="24"/>
        </w:rPr>
      </w:pPr>
    </w:p>
    <w:tbl>
      <w:tblPr>
        <w:tblW w:w="8272" w:type="dxa"/>
        <w:jc w:val="center"/>
        <w:tblInd w:w="-1467" w:type="dxa"/>
        <w:tblLook w:val="0000"/>
      </w:tblPr>
      <w:tblGrid>
        <w:gridCol w:w="3412"/>
        <w:gridCol w:w="1540"/>
        <w:gridCol w:w="1660"/>
        <w:gridCol w:w="1660"/>
      </w:tblGrid>
      <w:tr w:rsidR="001834C7" w:rsidRPr="003E2AD6" w:rsidTr="001834C7">
        <w:trPr>
          <w:trHeight w:val="300"/>
          <w:jc w:val="center"/>
        </w:trPr>
        <w:tc>
          <w:tcPr>
            <w:tcW w:w="3412" w:type="dxa"/>
            <w:noWrap/>
          </w:tcPr>
          <w:p w:rsidR="001834C7" w:rsidRPr="00656A82" w:rsidRDefault="001834C7" w:rsidP="00A61C2C">
            <w:pPr>
              <w:rPr>
                <w:rFonts w:ascii="Verdana" w:hAnsi="Verdana" w:cs="Courier New"/>
                <w:sz w:val="24"/>
                <w:szCs w:val="24"/>
              </w:rPr>
            </w:pPr>
          </w:p>
        </w:tc>
        <w:tc>
          <w:tcPr>
            <w:tcW w:w="1540" w:type="dxa"/>
            <w:noWrap/>
          </w:tcPr>
          <w:p w:rsidR="001834C7" w:rsidRPr="00656A82" w:rsidRDefault="001834C7" w:rsidP="00A61C2C">
            <w:pPr>
              <w:rPr>
                <w:rFonts w:ascii="Verdana" w:hAnsi="Verdana" w:cs="Courier New"/>
                <w:b/>
                <w:sz w:val="24"/>
                <w:szCs w:val="24"/>
                <w:u w:val="single"/>
              </w:rPr>
            </w:pPr>
            <w:r w:rsidRPr="00656A82">
              <w:rPr>
                <w:rFonts w:ascii="Verdana" w:hAnsi="Verdana" w:cs="Courier New"/>
                <w:b/>
                <w:sz w:val="24"/>
                <w:szCs w:val="24"/>
                <w:u w:val="single"/>
              </w:rPr>
              <w:t>Reported</w:t>
            </w:r>
          </w:p>
        </w:tc>
        <w:tc>
          <w:tcPr>
            <w:tcW w:w="1660" w:type="dxa"/>
            <w:noWrap/>
          </w:tcPr>
          <w:p w:rsidR="001834C7" w:rsidRPr="00656A82" w:rsidRDefault="001834C7" w:rsidP="00A61C2C">
            <w:pPr>
              <w:rPr>
                <w:rFonts w:ascii="Verdana" w:hAnsi="Verdana" w:cs="Courier New"/>
                <w:b/>
                <w:sz w:val="24"/>
                <w:szCs w:val="24"/>
                <w:u w:val="single"/>
              </w:rPr>
            </w:pPr>
            <w:r w:rsidRPr="00656A82">
              <w:rPr>
                <w:rFonts w:ascii="Verdana" w:hAnsi="Verdana" w:cs="Courier New"/>
                <w:b/>
                <w:sz w:val="24"/>
                <w:szCs w:val="24"/>
              </w:rPr>
              <w:t xml:space="preserve"> </w:t>
            </w:r>
            <w:r w:rsidRPr="00656A82">
              <w:rPr>
                <w:rFonts w:ascii="Verdana" w:hAnsi="Verdana" w:cs="Courier New"/>
                <w:b/>
                <w:sz w:val="24"/>
                <w:szCs w:val="24"/>
                <w:u w:val="single"/>
              </w:rPr>
              <w:t>Adjusted</w:t>
            </w:r>
          </w:p>
        </w:tc>
        <w:tc>
          <w:tcPr>
            <w:tcW w:w="1660" w:type="dxa"/>
          </w:tcPr>
          <w:p w:rsidR="001834C7" w:rsidRPr="003E2AD6" w:rsidRDefault="001834C7" w:rsidP="00A61C2C">
            <w:pPr>
              <w:rPr>
                <w:rFonts w:ascii="Verdana" w:hAnsi="Verdana" w:cs="Courier New"/>
                <w:b/>
                <w:sz w:val="24"/>
                <w:szCs w:val="24"/>
                <w:u w:val="single"/>
              </w:rPr>
            </w:pPr>
            <w:r w:rsidRPr="003E2AD6">
              <w:rPr>
                <w:rFonts w:ascii="Verdana" w:hAnsi="Verdana" w:cs="Courier New"/>
                <w:b/>
                <w:sz w:val="24"/>
                <w:szCs w:val="24"/>
                <w:u w:val="single"/>
              </w:rPr>
              <w:t>Change</w:t>
            </w:r>
          </w:p>
        </w:tc>
      </w:tr>
      <w:tr w:rsidR="001834C7" w:rsidRPr="00656A82" w:rsidTr="001834C7">
        <w:trPr>
          <w:trHeight w:val="300"/>
          <w:jc w:val="center"/>
        </w:trPr>
        <w:tc>
          <w:tcPr>
            <w:tcW w:w="3412" w:type="dxa"/>
            <w:noWrap/>
          </w:tcPr>
          <w:p w:rsidR="001834C7" w:rsidRPr="00656A82" w:rsidRDefault="001834C7" w:rsidP="00797B40">
            <w:pPr>
              <w:rPr>
                <w:rFonts w:ascii="Verdana" w:hAnsi="Verdana" w:cs="Courier New"/>
                <w:sz w:val="24"/>
                <w:szCs w:val="24"/>
              </w:rPr>
            </w:pPr>
            <w:r w:rsidRPr="00656A82">
              <w:rPr>
                <w:rFonts w:ascii="Verdana" w:hAnsi="Verdana" w:cs="Courier New"/>
                <w:sz w:val="24"/>
                <w:szCs w:val="24"/>
              </w:rPr>
              <w:t>Net income</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3,461</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2,932</w:t>
            </w:r>
          </w:p>
        </w:tc>
        <w:tc>
          <w:tcPr>
            <w:tcW w:w="1660" w:type="dxa"/>
          </w:tcPr>
          <w:p w:rsidR="001834C7" w:rsidRPr="003E2AD6" w:rsidRDefault="003E2AD6" w:rsidP="003E2AD6">
            <w:pPr>
              <w:rPr>
                <w:rFonts w:ascii="Courier New" w:hAnsi="Courier New" w:cs="Courier New"/>
                <w:sz w:val="24"/>
                <w:szCs w:val="24"/>
              </w:rPr>
            </w:pPr>
            <w:r w:rsidRPr="003E2AD6">
              <w:rPr>
                <w:rFonts w:ascii="Courier New" w:hAnsi="Courier New" w:cs="Courier New"/>
                <w:sz w:val="24"/>
                <w:szCs w:val="24"/>
              </w:rPr>
              <w:t xml:space="preserve">   (15)%</w:t>
            </w:r>
          </w:p>
        </w:tc>
      </w:tr>
      <w:tr w:rsidR="001834C7" w:rsidRPr="00656A82" w:rsidTr="001834C7">
        <w:trPr>
          <w:trHeight w:val="300"/>
          <w:jc w:val="center"/>
        </w:trPr>
        <w:tc>
          <w:tcPr>
            <w:tcW w:w="3412" w:type="dxa"/>
            <w:noWrap/>
          </w:tcPr>
          <w:p w:rsidR="001834C7" w:rsidRPr="00656A82" w:rsidRDefault="001834C7" w:rsidP="00A61C2C">
            <w:pPr>
              <w:rPr>
                <w:rFonts w:ascii="Verdana" w:hAnsi="Verdana" w:cs="Courier New"/>
                <w:sz w:val="24"/>
                <w:szCs w:val="24"/>
              </w:rPr>
            </w:pPr>
          </w:p>
        </w:tc>
        <w:tc>
          <w:tcPr>
            <w:tcW w:w="1540" w:type="dxa"/>
            <w:noWrap/>
          </w:tcPr>
          <w:p w:rsidR="001834C7" w:rsidRPr="003E2AD6" w:rsidRDefault="001834C7" w:rsidP="00A61C2C">
            <w:pPr>
              <w:jc w:val="right"/>
              <w:rPr>
                <w:rFonts w:ascii="Courier New" w:hAnsi="Courier New" w:cs="Courier New"/>
                <w:sz w:val="24"/>
                <w:szCs w:val="24"/>
              </w:rPr>
            </w:pPr>
          </w:p>
        </w:tc>
        <w:tc>
          <w:tcPr>
            <w:tcW w:w="1660" w:type="dxa"/>
            <w:noWrap/>
          </w:tcPr>
          <w:p w:rsidR="001834C7" w:rsidRPr="003E2AD6" w:rsidRDefault="001834C7" w:rsidP="00A61C2C">
            <w:pPr>
              <w:jc w:val="right"/>
              <w:rPr>
                <w:rFonts w:ascii="Courier New" w:hAnsi="Courier New" w:cs="Courier New"/>
                <w:sz w:val="24"/>
                <w:szCs w:val="24"/>
              </w:rPr>
            </w:pPr>
          </w:p>
        </w:tc>
        <w:tc>
          <w:tcPr>
            <w:tcW w:w="1660" w:type="dxa"/>
          </w:tcPr>
          <w:p w:rsidR="001834C7" w:rsidRPr="003E2AD6" w:rsidRDefault="001834C7" w:rsidP="003E2AD6">
            <w:pPr>
              <w:rPr>
                <w:rFonts w:ascii="Courier New" w:hAnsi="Courier New" w:cs="Courier New"/>
                <w:sz w:val="24"/>
                <w:szCs w:val="24"/>
              </w:rPr>
            </w:pPr>
          </w:p>
        </w:tc>
      </w:tr>
      <w:tr w:rsidR="003E2AD6" w:rsidRPr="00656A82" w:rsidTr="001834C7">
        <w:trPr>
          <w:trHeight w:val="300"/>
          <w:jc w:val="center"/>
        </w:trPr>
        <w:tc>
          <w:tcPr>
            <w:tcW w:w="3412" w:type="dxa"/>
            <w:noWrap/>
          </w:tcPr>
          <w:p w:rsidR="003E2AD6" w:rsidRPr="00656A82" w:rsidRDefault="003E2AD6" w:rsidP="00A61C2C">
            <w:pPr>
              <w:rPr>
                <w:rFonts w:ascii="Verdana" w:hAnsi="Verdana" w:cs="Courier New"/>
                <w:sz w:val="24"/>
                <w:szCs w:val="24"/>
              </w:rPr>
            </w:pPr>
            <w:r>
              <w:rPr>
                <w:rFonts w:ascii="Verdana" w:hAnsi="Verdana" w:cs="Courier New"/>
                <w:sz w:val="24"/>
                <w:szCs w:val="24"/>
              </w:rPr>
              <w:t>Current Assets</w:t>
            </w:r>
          </w:p>
        </w:tc>
        <w:tc>
          <w:tcPr>
            <w:tcW w:w="1540" w:type="dxa"/>
            <w:noWrap/>
          </w:tcPr>
          <w:p w:rsidR="003E2AD6"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18,594</w:t>
            </w:r>
          </w:p>
        </w:tc>
        <w:tc>
          <w:tcPr>
            <w:tcW w:w="1660" w:type="dxa"/>
            <w:noWrap/>
          </w:tcPr>
          <w:p w:rsidR="003E2AD6"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18,954</w:t>
            </w:r>
          </w:p>
        </w:tc>
        <w:tc>
          <w:tcPr>
            <w:tcW w:w="1660" w:type="dxa"/>
          </w:tcPr>
          <w:p w:rsidR="003E2AD6" w:rsidRPr="003E2AD6" w:rsidRDefault="003E2AD6" w:rsidP="003E2AD6">
            <w:pPr>
              <w:rPr>
                <w:rFonts w:ascii="Courier New" w:hAnsi="Courier New" w:cs="Courier New"/>
                <w:sz w:val="24"/>
                <w:szCs w:val="24"/>
              </w:rPr>
            </w:pPr>
          </w:p>
        </w:tc>
      </w:tr>
      <w:tr w:rsidR="001834C7" w:rsidRPr="00656A82" w:rsidTr="001834C7">
        <w:trPr>
          <w:trHeight w:val="300"/>
          <w:jc w:val="center"/>
        </w:trPr>
        <w:tc>
          <w:tcPr>
            <w:tcW w:w="3412" w:type="dxa"/>
            <w:noWrap/>
          </w:tcPr>
          <w:p w:rsidR="001834C7" w:rsidRPr="00656A82" w:rsidRDefault="001834C7" w:rsidP="00A61C2C">
            <w:pPr>
              <w:rPr>
                <w:rFonts w:ascii="Verdana" w:hAnsi="Verdana" w:cs="Courier New"/>
                <w:sz w:val="24"/>
                <w:szCs w:val="24"/>
              </w:rPr>
            </w:pPr>
            <w:r w:rsidRPr="00656A82">
              <w:rPr>
                <w:rFonts w:ascii="Verdana" w:hAnsi="Verdana" w:cs="Courier New"/>
                <w:sz w:val="24"/>
                <w:szCs w:val="24"/>
              </w:rPr>
              <w:t>Total Assets</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64,543</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73,700</w:t>
            </w:r>
          </w:p>
        </w:tc>
        <w:tc>
          <w:tcPr>
            <w:tcW w:w="1660" w:type="dxa"/>
          </w:tcPr>
          <w:p w:rsidR="001834C7" w:rsidRPr="003E2AD6" w:rsidRDefault="003E2AD6" w:rsidP="003E2AD6">
            <w:pPr>
              <w:rPr>
                <w:rFonts w:ascii="Courier New" w:hAnsi="Courier New" w:cs="Courier New"/>
                <w:sz w:val="24"/>
                <w:szCs w:val="24"/>
              </w:rPr>
            </w:pPr>
            <w:r w:rsidRPr="003E2AD6">
              <w:rPr>
                <w:rFonts w:ascii="Courier New" w:hAnsi="Courier New" w:cs="Courier New"/>
                <w:sz w:val="24"/>
                <w:szCs w:val="24"/>
              </w:rPr>
              <w:t xml:space="preserve">    14 %</w:t>
            </w:r>
          </w:p>
        </w:tc>
      </w:tr>
      <w:tr w:rsidR="001834C7" w:rsidRPr="00656A82" w:rsidTr="001834C7">
        <w:trPr>
          <w:trHeight w:val="300"/>
          <w:jc w:val="center"/>
        </w:trPr>
        <w:tc>
          <w:tcPr>
            <w:tcW w:w="3412" w:type="dxa"/>
            <w:noWrap/>
          </w:tcPr>
          <w:p w:rsidR="001834C7" w:rsidRPr="00656A82" w:rsidRDefault="001834C7" w:rsidP="00A61C2C">
            <w:pPr>
              <w:rPr>
                <w:rFonts w:ascii="Verdana" w:hAnsi="Verdana" w:cs="Courier New"/>
                <w:sz w:val="24"/>
                <w:szCs w:val="24"/>
              </w:rPr>
            </w:pPr>
          </w:p>
        </w:tc>
        <w:tc>
          <w:tcPr>
            <w:tcW w:w="1540" w:type="dxa"/>
            <w:noWrap/>
          </w:tcPr>
          <w:p w:rsidR="001834C7" w:rsidRPr="003E2AD6" w:rsidRDefault="001834C7" w:rsidP="00A61C2C">
            <w:pPr>
              <w:rPr>
                <w:rFonts w:ascii="Courier New" w:hAnsi="Courier New" w:cs="Courier New"/>
                <w:sz w:val="24"/>
                <w:szCs w:val="24"/>
              </w:rPr>
            </w:pPr>
          </w:p>
        </w:tc>
        <w:tc>
          <w:tcPr>
            <w:tcW w:w="1660" w:type="dxa"/>
            <w:noWrap/>
          </w:tcPr>
          <w:p w:rsidR="001834C7" w:rsidRPr="003E2AD6" w:rsidRDefault="001834C7" w:rsidP="00A61C2C">
            <w:pPr>
              <w:rPr>
                <w:rFonts w:ascii="Courier New" w:hAnsi="Courier New" w:cs="Courier New"/>
                <w:sz w:val="24"/>
                <w:szCs w:val="24"/>
              </w:rPr>
            </w:pPr>
          </w:p>
        </w:tc>
        <w:tc>
          <w:tcPr>
            <w:tcW w:w="1660" w:type="dxa"/>
          </w:tcPr>
          <w:p w:rsidR="001834C7" w:rsidRPr="003E2AD6" w:rsidRDefault="001834C7" w:rsidP="003E2AD6">
            <w:pPr>
              <w:rPr>
                <w:rFonts w:ascii="Courier New" w:hAnsi="Courier New" w:cs="Courier New"/>
                <w:sz w:val="24"/>
                <w:szCs w:val="24"/>
              </w:rPr>
            </w:pPr>
          </w:p>
        </w:tc>
      </w:tr>
      <w:tr w:rsidR="001834C7" w:rsidRPr="00656A82" w:rsidTr="001834C7">
        <w:trPr>
          <w:trHeight w:val="300"/>
          <w:jc w:val="center"/>
        </w:trPr>
        <w:tc>
          <w:tcPr>
            <w:tcW w:w="3412" w:type="dxa"/>
            <w:noWrap/>
          </w:tcPr>
          <w:p w:rsidR="001834C7" w:rsidRPr="00656A82" w:rsidRDefault="001834C7" w:rsidP="00A61C2C">
            <w:pPr>
              <w:rPr>
                <w:rFonts w:ascii="Verdana" w:hAnsi="Verdana" w:cs="Courier New"/>
                <w:sz w:val="24"/>
                <w:szCs w:val="24"/>
              </w:rPr>
            </w:pPr>
            <w:r w:rsidRPr="00656A82">
              <w:rPr>
                <w:rFonts w:ascii="Verdana" w:hAnsi="Verdana" w:cs="Courier New"/>
                <w:sz w:val="24"/>
                <w:szCs w:val="24"/>
              </w:rPr>
              <w:t>Current Debts</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11,956</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14,002</w:t>
            </w:r>
          </w:p>
        </w:tc>
        <w:tc>
          <w:tcPr>
            <w:tcW w:w="1660" w:type="dxa"/>
          </w:tcPr>
          <w:p w:rsidR="001834C7" w:rsidRPr="003E2AD6" w:rsidRDefault="003E2AD6" w:rsidP="003E2AD6">
            <w:pPr>
              <w:rPr>
                <w:rFonts w:ascii="Courier New" w:hAnsi="Courier New" w:cs="Courier New"/>
                <w:sz w:val="24"/>
                <w:szCs w:val="24"/>
              </w:rPr>
            </w:pPr>
            <w:r w:rsidRPr="003E2AD6">
              <w:rPr>
                <w:rFonts w:ascii="Courier New" w:hAnsi="Courier New" w:cs="Courier New"/>
                <w:sz w:val="24"/>
                <w:szCs w:val="24"/>
              </w:rPr>
              <w:t xml:space="preserve">    17 %</w:t>
            </w:r>
          </w:p>
        </w:tc>
      </w:tr>
      <w:tr w:rsidR="001834C7" w:rsidRPr="00656A82" w:rsidTr="001834C7">
        <w:trPr>
          <w:trHeight w:val="300"/>
          <w:jc w:val="center"/>
        </w:trPr>
        <w:tc>
          <w:tcPr>
            <w:tcW w:w="3412" w:type="dxa"/>
            <w:noWrap/>
          </w:tcPr>
          <w:p w:rsidR="001834C7" w:rsidRPr="00656A82" w:rsidRDefault="001834C7" w:rsidP="00A61C2C">
            <w:pPr>
              <w:rPr>
                <w:rFonts w:ascii="Verdana" w:hAnsi="Verdana" w:cs="Courier New"/>
                <w:sz w:val="24"/>
                <w:szCs w:val="24"/>
              </w:rPr>
            </w:pPr>
            <w:r w:rsidRPr="00656A82">
              <w:rPr>
                <w:rFonts w:ascii="Verdana" w:hAnsi="Verdana" w:cs="Courier New"/>
                <w:sz w:val="24"/>
                <w:szCs w:val="24"/>
              </w:rPr>
              <w:t>Long-term debts</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14,536</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27,755</w:t>
            </w:r>
          </w:p>
        </w:tc>
        <w:tc>
          <w:tcPr>
            <w:tcW w:w="1660" w:type="dxa"/>
          </w:tcPr>
          <w:p w:rsidR="001834C7" w:rsidRPr="003E2AD6" w:rsidRDefault="003E2AD6" w:rsidP="003E2AD6">
            <w:pPr>
              <w:rPr>
                <w:rFonts w:ascii="Courier New" w:hAnsi="Courier New" w:cs="Courier New"/>
                <w:sz w:val="24"/>
                <w:szCs w:val="24"/>
              </w:rPr>
            </w:pPr>
            <w:r w:rsidRPr="003E2AD6">
              <w:rPr>
                <w:rFonts w:ascii="Courier New" w:hAnsi="Courier New" w:cs="Courier New"/>
                <w:sz w:val="24"/>
                <w:szCs w:val="24"/>
              </w:rPr>
              <w:t xml:space="preserve">    91 %</w:t>
            </w:r>
          </w:p>
        </w:tc>
      </w:tr>
      <w:tr w:rsidR="001834C7" w:rsidRPr="00656A82" w:rsidTr="001834C7">
        <w:trPr>
          <w:trHeight w:val="300"/>
          <w:jc w:val="center"/>
        </w:trPr>
        <w:tc>
          <w:tcPr>
            <w:tcW w:w="3412" w:type="dxa"/>
            <w:noWrap/>
          </w:tcPr>
          <w:p w:rsidR="001834C7" w:rsidRPr="00656A82" w:rsidRDefault="001834C7" w:rsidP="00A61C2C">
            <w:pPr>
              <w:rPr>
                <w:rFonts w:ascii="Verdana" w:hAnsi="Verdana" w:cs="Courier New"/>
                <w:sz w:val="24"/>
                <w:szCs w:val="24"/>
              </w:rPr>
            </w:pPr>
            <w:r w:rsidRPr="00656A82">
              <w:rPr>
                <w:rFonts w:ascii="Verdana" w:hAnsi="Verdana" w:cs="Courier New"/>
                <w:sz w:val="24"/>
                <w:szCs w:val="24"/>
              </w:rPr>
              <w:t>Stockholders’ Equity</w:t>
            </w:r>
          </w:p>
        </w:tc>
        <w:tc>
          <w:tcPr>
            <w:tcW w:w="154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38,051</w:t>
            </w:r>
          </w:p>
        </w:tc>
        <w:tc>
          <w:tcPr>
            <w:tcW w:w="1660" w:type="dxa"/>
            <w:noWrap/>
          </w:tcPr>
          <w:p w:rsidR="001834C7" w:rsidRPr="003E2AD6" w:rsidRDefault="003E2AD6" w:rsidP="00A61C2C">
            <w:pPr>
              <w:jc w:val="right"/>
              <w:rPr>
                <w:rFonts w:ascii="Courier New" w:hAnsi="Courier New" w:cs="Courier New"/>
                <w:sz w:val="24"/>
                <w:szCs w:val="24"/>
              </w:rPr>
            </w:pPr>
            <w:r w:rsidRPr="003E2AD6">
              <w:rPr>
                <w:rFonts w:ascii="Courier New" w:hAnsi="Courier New" w:cs="Courier New"/>
                <w:sz w:val="24"/>
                <w:szCs w:val="24"/>
              </w:rPr>
              <w:t>31,943</w:t>
            </w:r>
          </w:p>
        </w:tc>
        <w:tc>
          <w:tcPr>
            <w:tcW w:w="1660" w:type="dxa"/>
          </w:tcPr>
          <w:p w:rsidR="001834C7" w:rsidRPr="003E2AD6" w:rsidRDefault="003E2AD6" w:rsidP="003E2AD6">
            <w:pPr>
              <w:rPr>
                <w:rFonts w:ascii="Courier New" w:hAnsi="Courier New" w:cs="Courier New"/>
                <w:sz w:val="24"/>
                <w:szCs w:val="24"/>
              </w:rPr>
            </w:pPr>
            <w:r w:rsidRPr="003E2AD6">
              <w:rPr>
                <w:rFonts w:ascii="Courier New" w:hAnsi="Courier New" w:cs="Courier New"/>
                <w:sz w:val="24"/>
                <w:szCs w:val="24"/>
              </w:rPr>
              <w:t xml:space="preserve">  </w:t>
            </w:r>
            <w:r>
              <w:rPr>
                <w:rFonts w:ascii="Courier New" w:hAnsi="Courier New" w:cs="Courier New"/>
                <w:sz w:val="24"/>
                <w:szCs w:val="24"/>
              </w:rPr>
              <w:t xml:space="preserve"> </w:t>
            </w:r>
            <w:r w:rsidRPr="003E2AD6">
              <w:rPr>
                <w:rFonts w:ascii="Courier New" w:hAnsi="Courier New" w:cs="Courier New"/>
                <w:sz w:val="24"/>
                <w:szCs w:val="24"/>
              </w:rPr>
              <w:t>(16)</w:t>
            </w:r>
            <w:r>
              <w:rPr>
                <w:rFonts w:ascii="Courier New" w:hAnsi="Courier New" w:cs="Courier New"/>
                <w:sz w:val="24"/>
                <w:szCs w:val="24"/>
              </w:rPr>
              <w:t>%</w:t>
            </w:r>
          </w:p>
        </w:tc>
      </w:tr>
    </w:tbl>
    <w:p w:rsidR="00A61C2C" w:rsidRDefault="00A61C2C" w:rsidP="00A61C2C">
      <w:pPr>
        <w:pStyle w:val="BodyText"/>
        <w:spacing w:line="240" w:lineRule="auto"/>
        <w:rPr>
          <w:rFonts w:ascii="Verdana" w:hAnsi="Verdana"/>
          <w:szCs w:val="24"/>
        </w:rPr>
      </w:pPr>
    </w:p>
    <w:p w:rsidR="00157DE0" w:rsidRPr="00656A82" w:rsidRDefault="00157DE0" w:rsidP="00A61C2C">
      <w:pPr>
        <w:pStyle w:val="BodyText"/>
        <w:spacing w:line="240" w:lineRule="auto"/>
        <w:rPr>
          <w:rFonts w:ascii="Verdana" w:hAnsi="Verdana"/>
          <w:szCs w:val="24"/>
        </w:rPr>
      </w:pPr>
    </w:p>
    <w:p w:rsidR="00A61C2C" w:rsidRPr="00656A82" w:rsidRDefault="00A61C2C" w:rsidP="00A61C2C">
      <w:pPr>
        <w:pStyle w:val="BodyText"/>
        <w:spacing w:line="240" w:lineRule="auto"/>
        <w:rPr>
          <w:rFonts w:ascii="Verdana" w:hAnsi="Verdana"/>
          <w:szCs w:val="24"/>
        </w:rPr>
      </w:pPr>
      <w:r w:rsidRPr="00656A82">
        <w:rPr>
          <w:rFonts w:ascii="Verdana" w:hAnsi="Verdana"/>
          <w:szCs w:val="24"/>
        </w:rPr>
        <w:t xml:space="preserve">The two methods generate the same expenses over the life of the lease, though they create different year-to-year effects.  Capitalization of the leases has a </w:t>
      </w:r>
      <w:r w:rsidR="003E2AD6">
        <w:rPr>
          <w:rFonts w:ascii="Verdana" w:hAnsi="Verdana"/>
          <w:szCs w:val="24"/>
        </w:rPr>
        <w:t xml:space="preserve">negative </w:t>
      </w:r>
      <w:r w:rsidRPr="00656A82">
        <w:rPr>
          <w:rFonts w:ascii="Verdana" w:hAnsi="Verdana"/>
          <w:szCs w:val="24"/>
        </w:rPr>
        <w:t xml:space="preserve">income effect for </w:t>
      </w:r>
      <w:r w:rsidR="003E2AD6">
        <w:rPr>
          <w:rFonts w:ascii="Verdana" w:hAnsi="Verdana"/>
          <w:szCs w:val="24"/>
        </w:rPr>
        <w:t>CVS</w:t>
      </w:r>
      <w:r w:rsidRPr="00656A82">
        <w:rPr>
          <w:rFonts w:ascii="Verdana" w:hAnsi="Verdana"/>
          <w:szCs w:val="24"/>
        </w:rPr>
        <w:t xml:space="preserve"> in 20</w:t>
      </w:r>
      <w:r w:rsidR="00656A82" w:rsidRPr="00656A82">
        <w:rPr>
          <w:rFonts w:ascii="Verdana" w:hAnsi="Verdana"/>
          <w:szCs w:val="24"/>
        </w:rPr>
        <w:t>1</w:t>
      </w:r>
      <w:r w:rsidR="003E2AD6">
        <w:rPr>
          <w:rFonts w:ascii="Verdana" w:hAnsi="Verdana"/>
          <w:szCs w:val="24"/>
        </w:rPr>
        <w:t>1</w:t>
      </w:r>
      <w:r w:rsidRPr="00656A82">
        <w:rPr>
          <w:rFonts w:ascii="Verdana" w:hAnsi="Verdana"/>
          <w:szCs w:val="24"/>
        </w:rPr>
        <w:t xml:space="preserve">, for the removal of rent expense </w:t>
      </w:r>
      <w:r w:rsidR="003E2AD6">
        <w:rPr>
          <w:rFonts w:ascii="Verdana" w:hAnsi="Verdana"/>
          <w:szCs w:val="24"/>
        </w:rPr>
        <w:t xml:space="preserve">is </w:t>
      </w:r>
      <w:r w:rsidRPr="00656A82">
        <w:rPr>
          <w:rFonts w:ascii="Verdana" w:hAnsi="Verdana"/>
          <w:szCs w:val="24"/>
        </w:rPr>
        <w:t>swamp</w:t>
      </w:r>
      <w:r w:rsidR="003E2AD6">
        <w:rPr>
          <w:rFonts w:ascii="Verdana" w:hAnsi="Verdana"/>
          <w:szCs w:val="24"/>
        </w:rPr>
        <w:t>ed by</w:t>
      </w:r>
      <w:r w:rsidR="0093354B">
        <w:rPr>
          <w:rFonts w:ascii="Verdana" w:hAnsi="Verdana"/>
          <w:szCs w:val="24"/>
        </w:rPr>
        <w:t xml:space="preserve"> increasing depreciation and </w:t>
      </w:r>
      <w:r w:rsidRPr="00656A82">
        <w:rPr>
          <w:rFonts w:ascii="Verdana" w:hAnsi="Verdana"/>
          <w:szCs w:val="24"/>
        </w:rPr>
        <w:t>interest expense</w:t>
      </w:r>
      <w:r w:rsidR="0093354B">
        <w:rPr>
          <w:rFonts w:ascii="Verdana" w:hAnsi="Verdana"/>
          <w:szCs w:val="24"/>
        </w:rPr>
        <w:t>, which is partially offset by a reduction in income tax expense</w:t>
      </w:r>
      <w:r w:rsidR="003E2AD6">
        <w:rPr>
          <w:rFonts w:ascii="Verdana" w:hAnsi="Verdana"/>
          <w:szCs w:val="24"/>
        </w:rPr>
        <w:t>.</w:t>
      </w:r>
    </w:p>
    <w:p w:rsidR="00656A82" w:rsidRPr="00656A82" w:rsidRDefault="00656A82" w:rsidP="00A61C2C">
      <w:pPr>
        <w:pStyle w:val="BodyText"/>
        <w:spacing w:line="240" w:lineRule="auto"/>
        <w:rPr>
          <w:rFonts w:ascii="Verdana" w:hAnsi="Verdana"/>
          <w:szCs w:val="24"/>
        </w:rPr>
      </w:pPr>
    </w:p>
    <w:p w:rsidR="00656A82" w:rsidRPr="00656A82" w:rsidRDefault="0093354B" w:rsidP="00A61C2C">
      <w:pPr>
        <w:pStyle w:val="BodyText"/>
        <w:spacing w:line="240" w:lineRule="auto"/>
        <w:rPr>
          <w:rFonts w:ascii="Verdana" w:hAnsi="Verdana"/>
          <w:szCs w:val="24"/>
        </w:rPr>
      </w:pPr>
      <w:r>
        <w:rPr>
          <w:rFonts w:ascii="Verdana" w:hAnsi="Verdana"/>
          <w:szCs w:val="24"/>
        </w:rPr>
        <w:t>T</w:t>
      </w:r>
      <w:r w:rsidR="00295EE1">
        <w:rPr>
          <w:rFonts w:ascii="Verdana" w:hAnsi="Verdana"/>
          <w:szCs w:val="24"/>
        </w:rPr>
        <w:t>otal assets increase by 14 percent because of the recognition of the capitalized lease asset.  Current assets, of course, are not affected.</w:t>
      </w:r>
    </w:p>
    <w:p w:rsidR="00656A82" w:rsidRPr="00656A82" w:rsidRDefault="00656A82" w:rsidP="00A61C2C">
      <w:pPr>
        <w:pStyle w:val="BodyText"/>
        <w:spacing w:line="240" w:lineRule="auto"/>
        <w:rPr>
          <w:rFonts w:ascii="Verdana" w:hAnsi="Verdana"/>
          <w:szCs w:val="24"/>
        </w:rPr>
      </w:pPr>
    </w:p>
    <w:p w:rsidR="00A61C2C" w:rsidRPr="00656A82" w:rsidRDefault="00295EE1" w:rsidP="00A61C2C">
      <w:pPr>
        <w:pStyle w:val="BodyText"/>
        <w:spacing w:line="240" w:lineRule="auto"/>
        <w:rPr>
          <w:rFonts w:ascii="Verdana" w:hAnsi="Verdana"/>
          <w:szCs w:val="24"/>
        </w:rPr>
      </w:pPr>
      <w:r>
        <w:rPr>
          <w:rFonts w:ascii="Verdana" w:hAnsi="Verdana"/>
          <w:szCs w:val="24"/>
        </w:rPr>
        <w:t>Current debts increase by 17 percent.  Long-term debts increase by a staggering 91 percent.  Stockholders’ equity declines 16 percent because of the income effects on past years and the current year.</w:t>
      </w:r>
    </w:p>
    <w:p w:rsidR="00656A82" w:rsidRPr="00656A82" w:rsidRDefault="00656A82" w:rsidP="00A61C2C">
      <w:pPr>
        <w:pStyle w:val="BodyText"/>
        <w:spacing w:line="240" w:lineRule="auto"/>
        <w:rPr>
          <w:rFonts w:ascii="Verdana" w:hAnsi="Verdana"/>
          <w:szCs w:val="24"/>
        </w:rPr>
      </w:pPr>
    </w:p>
    <w:p w:rsidR="00A61C2C" w:rsidRPr="00656A82" w:rsidRDefault="00295EE1" w:rsidP="00A61C2C">
      <w:pPr>
        <w:pStyle w:val="BodyText"/>
        <w:spacing w:line="240" w:lineRule="auto"/>
        <w:rPr>
          <w:rFonts w:ascii="Verdana" w:hAnsi="Verdana"/>
          <w:szCs w:val="24"/>
        </w:rPr>
      </w:pPr>
      <w:r>
        <w:rPr>
          <w:rFonts w:ascii="Verdana" w:hAnsi="Verdana"/>
          <w:szCs w:val="24"/>
        </w:rPr>
        <w:t xml:space="preserve">These account changes also impact widely used financial ratios.  For example, capitalization of the operating leases causes the current ratio to decrease from 1.56 to 1.33.  Return on assets declines from 5 percent to 4 percent.  But the largest effect is found in the debt-to-equity metric.  When the </w:t>
      </w:r>
      <w:r w:rsidR="00157DE0">
        <w:rPr>
          <w:rFonts w:ascii="Verdana" w:hAnsi="Verdana"/>
          <w:szCs w:val="24"/>
        </w:rPr>
        <w:t xml:space="preserve">operating </w:t>
      </w:r>
      <w:r>
        <w:rPr>
          <w:rFonts w:ascii="Verdana" w:hAnsi="Verdana"/>
          <w:szCs w:val="24"/>
        </w:rPr>
        <w:t>leases are not capitalized, CVS has a debt/equity measure of 0.70; however, when capitalized, this ratio jumps to 1.31.</w:t>
      </w:r>
    </w:p>
    <w:p w:rsidR="00656A82" w:rsidRPr="00656A82" w:rsidRDefault="00656A82" w:rsidP="00A61C2C">
      <w:pPr>
        <w:pStyle w:val="BodyText"/>
        <w:spacing w:line="240" w:lineRule="auto"/>
        <w:rPr>
          <w:rFonts w:ascii="Verdana" w:hAnsi="Verdana"/>
          <w:szCs w:val="24"/>
        </w:rPr>
      </w:pPr>
    </w:p>
    <w:p w:rsidR="0093354B" w:rsidRDefault="0093354B" w:rsidP="00A61C2C">
      <w:pPr>
        <w:pStyle w:val="BodyText"/>
        <w:spacing w:line="240" w:lineRule="auto"/>
        <w:rPr>
          <w:rFonts w:ascii="Verdana" w:hAnsi="Verdana"/>
          <w:szCs w:val="24"/>
        </w:rPr>
      </w:pPr>
      <w:r>
        <w:rPr>
          <w:rFonts w:ascii="Verdana" w:hAnsi="Verdana"/>
          <w:szCs w:val="24"/>
        </w:rPr>
        <w:t xml:space="preserve">Sophisticated investors </w:t>
      </w:r>
      <w:r w:rsidR="00A61C2C" w:rsidRPr="00656A82">
        <w:rPr>
          <w:rFonts w:ascii="Verdana" w:hAnsi="Verdana"/>
          <w:szCs w:val="24"/>
        </w:rPr>
        <w:t xml:space="preserve">perform these adjustments </w:t>
      </w:r>
      <w:r>
        <w:rPr>
          <w:rFonts w:ascii="Verdana" w:hAnsi="Verdana"/>
          <w:szCs w:val="24"/>
        </w:rPr>
        <w:t xml:space="preserve">to </w:t>
      </w:r>
      <w:r w:rsidR="00A61C2C" w:rsidRPr="00656A82">
        <w:rPr>
          <w:rFonts w:ascii="Verdana" w:hAnsi="Verdana"/>
          <w:szCs w:val="24"/>
        </w:rPr>
        <w:t xml:space="preserve">obtain a clearer vision of the entity’s future than </w:t>
      </w:r>
      <w:r>
        <w:rPr>
          <w:rFonts w:ascii="Verdana" w:hAnsi="Verdana"/>
          <w:szCs w:val="24"/>
        </w:rPr>
        <w:t xml:space="preserve">presented by </w:t>
      </w:r>
      <w:r w:rsidR="00A61C2C" w:rsidRPr="00656A82">
        <w:rPr>
          <w:rFonts w:ascii="Verdana" w:hAnsi="Verdana"/>
          <w:szCs w:val="24"/>
        </w:rPr>
        <w:t>the reported numbers.  While sophisticated users can do this, it does not excuse the FASB’s inertia to ch</w:t>
      </w:r>
      <w:r>
        <w:rPr>
          <w:rFonts w:ascii="Verdana" w:hAnsi="Verdana"/>
          <w:szCs w:val="24"/>
        </w:rPr>
        <w:t xml:space="preserve">ange its lease pronouncements. </w:t>
      </w:r>
      <w:r w:rsidR="00A61C2C" w:rsidRPr="00656A82">
        <w:rPr>
          <w:rFonts w:ascii="Verdana" w:hAnsi="Verdana"/>
          <w:szCs w:val="24"/>
        </w:rPr>
        <w:t xml:space="preserve">The </w:t>
      </w:r>
      <w:r>
        <w:rPr>
          <w:rFonts w:ascii="Verdana" w:hAnsi="Verdana"/>
          <w:szCs w:val="24"/>
        </w:rPr>
        <w:t xml:space="preserve">adjustment and estimation </w:t>
      </w:r>
      <w:r w:rsidR="00A61C2C" w:rsidRPr="00656A82">
        <w:rPr>
          <w:rFonts w:ascii="Verdana" w:hAnsi="Verdana"/>
          <w:szCs w:val="24"/>
        </w:rPr>
        <w:t>process is costly and involves estimation errors</w:t>
      </w:r>
      <w:r>
        <w:rPr>
          <w:rFonts w:ascii="Verdana" w:hAnsi="Verdana"/>
          <w:szCs w:val="24"/>
        </w:rPr>
        <w:t xml:space="preserve"> </w:t>
      </w:r>
      <w:r w:rsidR="00295EE1">
        <w:rPr>
          <w:rFonts w:ascii="Verdana" w:hAnsi="Verdana"/>
          <w:szCs w:val="24"/>
        </w:rPr>
        <w:t>(</w:t>
      </w:r>
      <w:r>
        <w:rPr>
          <w:rFonts w:ascii="Verdana" w:hAnsi="Verdana"/>
          <w:szCs w:val="24"/>
        </w:rPr>
        <w:t xml:space="preserve">e.g., </w:t>
      </w:r>
      <w:r w:rsidR="00295EE1">
        <w:rPr>
          <w:rFonts w:ascii="Verdana" w:hAnsi="Verdana"/>
          <w:szCs w:val="24"/>
        </w:rPr>
        <w:t>did we use the correct interest rate?)</w:t>
      </w:r>
      <w:r>
        <w:rPr>
          <w:rFonts w:ascii="Verdana" w:hAnsi="Verdana"/>
          <w:szCs w:val="24"/>
        </w:rPr>
        <w:t xml:space="preserve">.  Additionally, </w:t>
      </w:r>
      <w:r w:rsidR="00A61C2C" w:rsidRPr="00656A82">
        <w:rPr>
          <w:rFonts w:ascii="Verdana" w:hAnsi="Verdana"/>
          <w:szCs w:val="24"/>
        </w:rPr>
        <w:t>unsophisticated users might be hurt by their inability to ad</w:t>
      </w:r>
      <w:r>
        <w:rPr>
          <w:rFonts w:ascii="Verdana" w:hAnsi="Verdana"/>
          <w:szCs w:val="24"/>
        </w:rPr>
        <w:t xml:space="preserve">just reported numbers appropriately. Finally, </w:t>
      </w:r>
      <w:r w:rsidR="00A61C2C" w:rsidRPr="00656A82">
        <w:rPr>
          <w:rFonts w:ascii="Verdana" w:hAnsi="Verdana"/>
          <w:szCs w:val="24"/>
        </w:rPr>
        <w:t xml:space="preserve">contracts might employ reported numbers, thereby biasing the relationship among the various parties to the contract.  </w:t>
      </w:r>
    </w:p>
    <w:p w:rsidR="0093354B" w:rsidRDefault="0093354B" w:rsidP="00A61C2C">
      <w:pPr>
        <w:pStyle w:val="BodyText"/>
        <w:spacing w:line="240" w:lineRule="auto"/>
        <w:rPr>
          <w:rFonts w:ascii="Verdana" w:hAnsi="Verdana"/>
          <w:szCs w:val="24"/>
        </w:rPr>
      </w:pPr>
    </w:p>
    <w:p w:rsidR="00A61C2C" w:rsidRPr="00656A82" w:rsidRDefault="0093354B" w:rsidP="00A61C2C">
      <w:pPr>
        <w:pStyle w:val="BodyText"/>
        <w:spacing w:line="240" w:lineRule="auto"/>
        <w:rPr>
          <w:rFonts w:ascii="Verdana" w:hAnsi="Verdana"/>
          <w:szCs w:val="24"/>
        </w:rPr>
      </w:pPr>
      <w:r>
        <w:rPr>
          <w:rFonts w:ascii="Verdana" w:hAnsi="Verdana"/>
          <w:szCs w:val="24"/>
        </w:rPr>
        <w:t>T</w:t>
      </w:r>
      <w:r w:rsidR="00A61C2C" w:rsidRPr="00656A82">
        <w:rPr>
          <w:rFonts w:ascii="Verdana" w:hAnsi="Verdana"/>
          <w:szCs w:val="24"/>
        </w:rPr>
        <w:t xml:space="preserve">he FASB </w:t>
      </w:r>
      <w:r>
        <w:rPr>
          <w:rFonts w:ascii="Verdana" w:hAnsi="Verdana"/>
          <w:szCs w:val="24"/>
        </w:rPr>
        <w:t xml:space="preserve">should </w:t>
      </w:r>
      <w:r w:rsidR="00A61C2C" w:rsidRPr="00656A82">
        <w:rPr>
          <w:rFonts w:ascii="Verdana" w:hAnsi="Verdana"/>
          <w:szCs w:val="24"/>
        </w:rPr>
        <w:t>get off its collective back-side and correct the mistakes in Statement No. 13.</w:t>
      </w:r>
      <w:r w:rsidR="00656A82" w:rsidRPr="00656A82">
        <w:rPr>
          <w:rFonts w:ascii="Verdana" w:hAnsi="Verdana"/>
          <w:szCs w:val="24"/>
        </w:rPr>
        <w:t xml:space="preserve"> </w:t>
      </w:r>
      <w:r>
        <w:rPr>
          <w:rFonts w:ascii="Verdana" w:hAnsi="Verdana"/>
          <w:szCs w:val="24"/>
        </w:rPr>
        <w:t>In case the FASB hasn’t noticed, the world has changed dramatically during the past 36 years. Let’s make</w:t>
      </w:r>
      <w:r w:rsidR="00656A82" w:rsidRPr="00656A82">
        <w:rPr>
          <w:rFonts w:ascii="Verdana" w:hAnsi="Verdana"/>
          <w:szCs w:val="24"/>
        </w:rPr>
        <w:t xml:space="preserve"> </w:t>
      </w:r>
      <w:r w:rsidR="009E4B9A">
        <w:rPr>
          <w:rFonts w:ascii="Verdana" w:hAnsi="Verdana"/>
          <w:szCs w:val="24"/>
        </w:rPr>
        <w:t xml:space="preserve">the </w:t>
      </w:r>
      <w:r w:rsidR="00656A82" w:rsidRPr="00656A82">
        <w:rPr>
          <w:rFonts w:ascii="Verdana" w:hAnsi="Verdana"/>
          <w:szCs w:val="24"/>
        </w:rPr>
        <w:t xml:space="preserve">current exposure draft </w:t>
      </w:r>
      <w:r w:rsidR="009E4B9A">
        <w:rPr>
          <w:rFonts w:ascii="Verdana" w:hAnsi="Verdana"/>
          <w:szCs w:val="24"/>
        </w:rPr>
        <w:t>reality!</w:t>
      </w:r>
    </w:p>
    <w:p w:rsidR="00A61C2C" w:rsidRPr="00656A82" w:rsidRDefault="00A61C2C" w:rsidP="00A61C2C">
      <w:pPr>
        <w:rPr>
          <w:rFonts w:ascii="Verdana" w:hAnsi="Verdana" w:cs="Arial"/>
          <w:sz w:val="24"/>
          <w:szCs w:val="24"/>
        </w:rPr>
      </w:pPr>
    </w:p>
    <w:p w:rsidR="00A61C2C" w:rsidRPr="00656A82" w:rsidRDefault="00A61C2C" w:rsidP="00DA29E6">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55850"/>
    <w:multiLevelType w:val="hybridMultilevel"/>
    <w:tmpl w:val="6D6A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665E6"/>
    <w:multiLevelType w:val="hybridMultilevel"/>
    <w:tmpl w:val="F2684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0"/>
  </w:num>
  <w:num w:numId="5">
    <w:abstractNumId w:val="14"/>
  </w:num>
  <w:num w:numId="6">
    <w:abstractNumId w:val="6"/>
  </w:num>
  <w:num w:numId="7">
    <w:abstractNumId w:val="7"/>
  </w:num>
  <w:num w:numId="8">
    <w:abstractNumId w:val="3"/>
  </w:num>
  <w:num w:numId="9">
    <w:abstractNumId w:val="12"/>
  </w:num>
  <w:num w:numId="10">
    <w:abstractNumId w:val="1"/>
  </w:num>
  <w:num w:numId="11">
    <w:abstractNumId w:val="11"/>
  </w:num>
  <w:num w:numId="12">
    <w:abstractNumId w:val="13"/>
  </w:num>
  <w:num w:numId="13">
    <w:abstractNumId w:val="8"/>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627B"/>
    <w:rsid w:val="0001223C"/>
    <w:rsid w:val="00013A1E"/>
    <w:rsid w:val="00014F46"/>
    <w:rsid w:val="00032D82"/>
    <w:rsid w:val="000334D4"/>
    <w:rsid w:val="000374C2"/>
    <w:rsid w:val="00052C5C"/>
    <w:rsid w:val="00070A9F"/>
    <w:rsid w:val="00081916"/>
    <w:rsid w:val="0008518C"/>
    <w:rsid w:val="00093316"/>
    <w:rsid w:val="000A3CC5"/>
    <w:rsid w:val="000A52AA"/>
    <w:rsid w:val="000A68B5"/>
    <w:rsid w:val="000B0974"/>
    <w:rsid w:val="000C0DAE"/>
    <w:rsid w:val="000C6302"/>
    <w:rsid w:val="000D246D"/>
    <w:rsid w:val="000E2E4F"/>
    <w:rsid w:val="000F42DF"/>
    <w:rsid w:val="00124D4C"/>
    <w:rsid w:val="00156B45"/>
    <w:rsid w:val="00157DE0"/>
    <w:rsid w:val="00162F11"/>
    <w:rsid w:val="00166500"/>
    <w:rsid w:val="0016737C"/>
    <w:rsid w:val="00174097"/>
    <w:rsid w:val="001823C4"/>
    <w:rsid w:val="001834C7"/>
    <w:rsid w:val="001978FB"/>
    <w:rsid w:val="001A35D6"/>
    <w:rsid w:val="001A4C91"/>
    <w:rsid w:val="001A523B"/>
    <w:rsid w:val="001A5685"/>
    <w:rsid w:val="001A63DD"/>
    <w:rsid w:val="001B2AE8"/>
    <w:rsid w:val="001B3448"/>
    <w:rsid w:val="001B54FF"/>
    <w:rsid w:val="001C3948"/>
    <w:rsid w:val="001C5C9F"/>
    <w:rsid w:val="001C7FFA"/>
    <w:rsid w:val="0020134E"/>
    <w:rsid w:val="0020293D"/>
    <w:rsid w:val="002134E1"/>
    <w:rsid w:val="00215FD8"/>
    <w:rsid w:val="002254DA"/>
    <w:rsid w:val="002348DA"/>
    <w:rsid w:val="00254206"/>
    <w:rsid w:val="00264576"/>
    <w:rsid w:val="0028077B"/>
    <w:rsid w:val="00285D9E"/>
    <w:rsid w:val="002921E3"/>
    <w:rsid w:val="002954BA"/>
    <w:rsid w:val="00295EE1"/>
    <w:rsid w:val="002A35CE"/>
    <w:rsid w:val="002B0A9D"/>
    <w:rsid w:val="002B29A5"/>
    <w:rsid w:val="002C3E0F"/>
    <w:rsid w:val="002C4F22"/>
    <w:rsid w:val="002F116C"/>
    <w:rsid w:val="002F1C18"/>
    <w:rsid w:val="00304385"/>
    <w:rsid w:val="00307529"/>
    <w:rsid w:val="0031191B"/>
    <w:rsid w:val="00315910"/>
    <w:rsid w:val="00316C9F"/>
    <w:rsid w:val="003259CE"/>
    <w:rsid w:val="00327520"/>
    <w:rsid w:val="0032760C"/>
    <w:rsid w:val="00337E70"/>
    <w:rsid w:val="003614EA"/>
    <w:rsid w:val="00362844"/>
    <w:rsid w:val="00362D5A"/>
    <w:rsid w:val="00383ECD"/>
    <w:rsid w:val="00387AD3"/>
    <w:rsid w:val="0039366C"/>
    <w:rsid w:val="00394F33"/>
    <w:rsid w:val="003A627B"/>
    <w:rsid w:val="003B5481"/>
    <w:rsid w:val="003C2F39"/>
    <w:rsid w:val="003C370E"/>
    <w:rsid w:val="003D7633"/>
    <w:rsid w:val="003E2195"/>
    <w:rsid w:val="003E2AD6"/>
    <w:rsid w:val="003F2470"/>
    <w:rsid w:val="003F6FEC"/>
    <w:rsid w:val="00407FE7"/>
    <w:rsid w:val="00423830"/>
    <w:rsid w:val="00430CC2"/>
    <w:rsid w:val="00441449"/>
    <w:rsid w:val="00443813"/>
    <w:rsid w:val="00452131"/>
    <w:rsid w:val="004534FA"/>
    <w:rsid w:val="00460BD2"/>
    <w:rsid w:val="00465E6E"/>
    <w:rsid w:val="00471A13"/>
    <w:rsid w:val="004B03F1"/>
    <w:rsid w:val="004B57C9"/>
    <w:rsid w:val="004D6BFC"/>
    <w:rsid w:val="004E7B9C"/>
    <w:rsid w:val="004F264C"/>
    <w:rsid w:val="004F5EB2"/>
    <w:rsid w:val="0050716A"/>
    <w:rsid w:val="005174B2"/>
    <w:rsid w:val="00520260"/>
    <w:rsid w:val="00520832"/>
    <w:rsid w:val="00534915"/>
    <w:rsid w:val="00547265"/>
    <w:rsid w:val="00566ACC"/>
    <w:rsid w:val="005679C2"/>
    <w:rsid w:val="00572989"/>
    <w:rsid w:val="0058071A"/>
    <w:rsid w:val="005877D3"/>
    <w:rsid w:val="00591E9C"/>
    <w:rsid w:val="005B3AFB"/>
    <w:rsid w:val="005B5C4B"/>
    <w:rsid w:val="005B6B3D"/>
    <w:rsid w:val="005B7BA1"/>
    <w:rsid w:val="005C5AA8"/>
    <w:rsid w:val="005C719F"/>
    <w:rsid w:val="005C7FC3"/>
    <w:rsid w:val="005D3219"/>
    <w:rsid w:val="005D548A"/>
    <w:rsid w:val="005E40D4"/>
    <w:rsid w:val="005F2D0B"/>
    <w:rsid w:val="006062C5"/>
    <w:rsid w:val="00626CA8"/>
    <w:rsid w:val="00630BC8"/>
    <w:rsid w:val="00654AEE"/>
    <w:rsid w:val="00656A82"/>
    <w:rsid w:val="00671DE9"/>
    <w:rsid w:val="00680C26"/>
    <w:rsid w:val="00681673"/>
    <w:rsid w:val="006A2E31"/>
    <w:rsid w:val="006A7CF1"/>
    <w:rsid w:val="006B5167"/>
    <w:rsid w:val="006C0D38"/>
    <w:rsid w:val="006D40B4"/>
    <w:rsid w:val="006F298B"/>
    <w:rsid w:val="00701811"/>
    <w:rsid w:val="007069CC"/>
    <w:rsid w:val="00716893"/>
    <w:rsid w:val="0072083E"/>
    <w:rsid w:val="007240D6"/>
    <w:rsid w:val="007310E9"/>
    <w:rsid w:val="00741CC4"/>
    <w:rsid w:val="00753045"/>
    <w:rsid w:val="0075714F"/>
    <w:rsid w:val="00762F72"/>
    <w:rsid w:val="007935E9"/>
    <w:rsid w:val="00795EDC"/>
    <w:rsid w:val="00797B40"/>
    <w:rsid w:val="007A54C7"/>
    <w:rsid w:val="007C2521"/>
    <w:rsid w:val="007D30EB"/>
    <w:rsid w:val="007D7854"/>
    <w:rsid w:val="007E274D"/>
    <w:rsid w:val="007E4E7D"/>
    <w:rsid w:val="00823AFE"/>
    <w:rsid w:val="00825D4D"/>
    <w:rsid w:val="00826541"/>
    <w:rsid w:val="008265E1"/>
    <w:rsid w:val="00830A0B"/>
    <w:rsid w:val="00834103"/>
    <w:rsid w:val="00847F54"/>
    <w:rsid w:val="00867351"/>
    <w:rsid w:val="00874083"/>
    <w:rsid w:val="0088295A"/>
    <w:rsid w:val="00885921"/>
    <w:rsid w:val="008B5E1A"/>
    <w:rsid w:val="008C691D"/>
    <w:rsid w:val="008D2071"/>
    <w:rsid w:val="008D5DE7"/>
    <w:rsid w:val="008E0442"/>
    <w:rsid w:val="008E6D9D"/>
    <w:rsid w:val="009066DA"/>
    <w:rsid w:val="00907BCA"/>
    <w:rsid w:val="00930C78"/>
    <w:rsid w:val="0093354B"/>
    <w:rsid w:val="00952126"/>
    <w:rsid w:val="009552D6"/>
    <w:rsid w:val="00974768"/>
    <w:rsid w:val="00975403"/>
    <w:rsid w:val="009A0991"/>
    <w:rsid w:val="009A26FD"/>
    <w:rsid w:val="009A40B3"/>
    <w:rsid w:val="009A6D9B"/>
    <w:rsid w:val="009B1A90"/>
    <w:rsid w:val="009D3CF4"/>
    <w:rsid w:val="009D772A"/>
    <w:rsid w:val="009E4B9A"/>
    <w:rsid w:val="009F0A97"/>
    <w:rsid w:val="00A02E34"/>
    <w:rsid w:val="00A03ADF"/>
    <w:rsid w:val="00A06B5A"/>
    <w:rsid w:val="00A11437"/>
    <w:rsid w:val="00A14E6E"/>
    <w:rsid w:val="00A2604A"/>
    <w:rsid w:val="00A35333"/>
    <w:rsid w:val="00A501CA"/>
    <w:rsid w:val="00A56122"/>
    <w:rsid w:val="00A61C2C"/>
    <w:rsid w:val="00A623DC"/>
    <w:rsid w:val="00A759EC"/>
    <w:rsid w:val="00A94ED1"/>
    <w:rsid w:val="00AB5DEF"/>
    <w:rsid w:val="00AC081E"/>
    <w:rsid w:val="00AC7090"/>
    <w:rsid w:val="00AD6616"/>
    <w:rsid w:val="00AD6A29"/>
    <w:rsid w:val="00AE44C0"/>
    <w:rsid w:val="00B11CE6"/>
    <w:rsid w:val="00B12949"/>
    <w:rsid w:val="00B20912"/>
    <w:rsid w:val="00B20A52"/>
    <w:rsid w:val="00B22B1B"/>
    <w:rsid w:val="00B5636F"/>
    <w:rsid w:val="00B7722F"/>
    <w:rsid w:val="00B77990"/>
    <w:rsid w:val="00B77E24"/>
    <w:rsid w:val="00B80F61"/>
    <w:rsid w:val="00B8681F"/>
    <w:rsid w:val="00B91B36"/>
    <w:rsid w:val="00B91C46"/>
    <w:rsid w:val="00B92AA2"/>
    <w:rsid w:val="00BB6235"/>
    <w:rsid w:val="00BB70EE"/>
    <w:rsid w:val="00BC1DB8"/>
    <w:rsid w:val="00BC33AB"/>
    <w:rsid w:val="00BD1C30"/>
    <w:rsid w:val="00BD4859"/>
    <w:rsid w:val="00BD5A48"/>
    <w:rsid w:val="00BE5852"/>
    <w:rsid w:val="00BE5F10"/>
    <w:rsid w:val="00BF4BFB"/>
    <w:rsid w:val="00BF4CC9"/>
    <w:rsid w:val="00BF663F"/>
    <w:rsid w:val="00C02A18"/>
    <w:rsid w:val="00C0326A"/>
    <w:rsid w:val="00C04A39"/>
    <w:rsid w:val="00C06BB5"/>
    <w:rsid w:val="00C06C9A"/>
    <w:rsid w:val="00C14B68"/>
    <w:rsid w:val="00C17B64"/>
    <w:rsid w:val="00C25606"/>
    <w:rsid w:val="00C265D4"/>
    <w:rsid w:val="00C40DDB"/>
    <w:rsid w:val="00C7386E"/>
    <w:rsid w:val="00C73BEA"/>
    <w:rsid w:val="00C83508"/>
    <w:rsid w:val="00C84E3D"/>
    <w:rsid w:val="00C86325"/>
    <w:rsid w:val="00CA4259"/>
    <w:rsid w:val="00CB2C19"/>
    <w:rsid w:val="00CB7FD0"/>
    <w:rsid w:val="00CC7B0A"/>
    <w:rsid w:val="00CD0E7F"/>
    <w:rsid w:val="00CD27FE"/>
    <w:rsid w:val="00CE1F6F"/>
    <w:rsid w:val="00CF567E"/>
    <w:rsid w:val="00CF5BF7"/>
    <w:rsid w:val="00D005BC"/>
    <w:rsid w:val="00D04C30"/>
    <w:rsid w:val="00D10237"/>
    <w:rsid w:val="00D11F6F"/>
    <w:rsid w:val="00D15B07"/>
    <w:rsid w:val="00D42D55"/>
    <w:rsid w:val="00D546A3"/>
    <w:rsid w:val="00D54EF4"/>
    <w:rsid w:val="00D552C9"/>
    <w:rsid w:val="00D61215"/>
    <w:rsid w:val="00D66F58"/>
    <w:rsid w:val="00D72331"/>
    <w:rsid w:val="00D92C5E"/>
    <w:rsid w:val="00D94D28"/>
    <w:rsid w:val="00D96CB6"/>
    <w:rsid w:val="00DA29E6"/>
    <w:rsid w:val="00DB5864"/>
    <w:rsid w:val="00DC6A24"/>
    <w:rsid w:val="00DE470E"/>
    <w:rsid w:val="00DE58F7"/>
    <w:rsid w:val="00DF0BCE"/>
    <w:rsid w:val="00E0278C"/>
    <w:rsid w:val="00E0530E"/>
    <w:rsid w:val="00E10ACB"/>
    <w:rsid w:val="00E12A7D"/>
    <w:rsid w:val="00E13EA4"/>
    <w:rsid w:val="00E26ACF"/>
    <w:rsid w:val="00E318EE"/>
    <w:rsid w:val="00E43025"/>
    <w:rsid w:val="00E656F7"/>
    <w:rsid w:val="00E6651F"/>
    <w:rsid w:val="00E70E2E"/>
    <w:rsid w:val="00E81155"/>
    <w:rsid w:val="00E85258"/>
    <w:rsid w:val="00EA73DD"/>
    <w:rsid w:val="00EB4D4A"/>
    <w:rsid w:val="00EB75E6"/>
    <w:rsid w:val="00ED3830"/>
    <w:rsid w:val="00ED708A"/>
    <w:rsid w:val="00EE3621"/>
    <w:rsid w:val="00EE62E4"/>
    <w:rsid w:val="00EE6A29"/>
    <w:rsid w:val="00EF3CB2"/>
    <w:rsid w:val="00F0140C"/>
    <w:rsid w:val="00F11B2D"/>
    <w:rsid w:val="00F37BB7"/>
    <w:rsid w:val="00F454E5"/>
    <w:rsid w:val="00F61B68"/>
    <w:rsid w:val="00F66731"/>
    <w:rsid w:val="00F7237C"/>
    <w:rsid w:val="00F7596C"/>
    <w:rsid w:val="00F8568F"/>
    <w:rsid w:val="00F93625"/>
    <w:rsid w:val="00F94C21"/>
    <w:rsid w:val="00F95297"/>
    <w:rsid w:val="00FA305E"/>
    <w:rsid w:val="00FB352F"/>
    <w:rsid w:val="00FB7F87"/>
    <w:rsid w:val="00FC520E"/>
    <w:rsid w:val="00FC5D0E"/>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x.corporate-ir.net/phoenix.zhtml?c=99533&amp;p=irol-seccat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2</cp:revision>
  <cp:lastPrinted>2011-08-13T14:23:00Z</cp:lastPrinted>
  <dcterms:created xsi:type="dcterms:W3CDTF">2012-02-27T19:55:00Z</dcterms:created>
  <dcterms:modified xsi:type="dcterms:W3CDTF">2012-02-27T19:55:00Z</dcterms:modified>
</cp:coreProperties>
</file>