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36A46" w:rsidP="00443473">
      <w:pPr>
        <w:rPr>
          <w:rFonts w:ascii="Arial" w:hAnsi="Arial" w:cs="Arial"/>
          <w:b/>
          <w:i/>
          <w:sz w:val="24"/>
          <w:szCs w:val="24"/>
        </w:rPr>
      </w:pPr>
      <w:r>
        <w:rPr>
          <w:rFonts w:ascii="Arial" w:hAnsi="Arial" w:cs="Arial"/>
          <w:b/>
          <w:sz w:val="28"/>
          <w:szCs w:val="28"/>
        </w:rPr>
        <w:t>FACEBOOK GETS AN “A” IN FINANCIAL REPORTING</w:t>
      </w:r>
      <w:r w:rsidR="004D0A85">
        <w:rPr>
          <w:rFonts w:ascii="Arial" w:hAnsi="Arial" w:cs="Arial"/>
          <w:b/>
          <w:sz w:val="28"/>
          <w:szCs w:val="28"/>
        </w:rPr>
        <w:br/>
      </w:r>
      <w:r w:rsidR="00E81155" w:rsidRPr="0087771A">
        <w:rPr>
          <w:rFonts w:ascii="Arial" w:hAnsi="Arial" w:cs="Arial"/>
          <w:b/>
          <w:i/>
          <w:sz w:val="24"/>
          <w:szCs w:val="24"/>
        </w:rPr>
        <w:t>Anthony H. Catanach Jr. and J. Edward Ketz</w:t>
      </w:r>
    </w:p>
    <w:p w:rsidR="00E81155" w:rsidRDefault="00E81155" w:rsidP="00443473">
      <w:pPr>
        <w:rPr>
          <w:rFonts w:ascii="Arial" w:hAnsi="Arial" w:cs="Arial"/>
          <w:b/>
          <w:i/>
          <w:sz w:val="24"/>
          <w:szCs w:val="24"/>
        </w:rPr>
      </w:pPr>
      <w:r>
        <w:rPr>
          <w:rFonts w:ascii="Arial" w:hAnsi="Arial" w:cs="Arial"/>
          <w:b/>
          <w:i/>
          <w:sz w:val="24"/>
          <w:szCs w:val="24"/>
        </w:rPr>
        <w:t xml:space="preserve">Grumpy Old Accountants, </w:t>
      </w:r>
      <w:r w:rsidR="004F0F33">
        <w:rPr>
          <w:rFonts w:ascii="Arial" w:hAnsi="Arial" w:cs="Arial"/>
          <w:b/>
          <w:i/>
          <w:sz w:val="24"/>
          <w:szCs w:val="24"/>
        </w:rPr>
        <w:t>February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E81155" w:rsidRPr="00A56122" w:rsidRDefault="00E81155" w:rsidP="00443473">
      <w:pPr>
        <w:rPr>
          <w:rFonts w:ascii="Verdana" w:hAnsi="Verdana" w:cs="Arial"/>
          <w:sz w:val="24"/>
          <w:szCs w:val="24"/>
        </w:rPr>
      </w:pPr>
    </w:p>
    <w:p w:rsidR="00DD5F13" w:rsidRDefault="003B73F8" w:rsidP="00443473">
      <w:pPr>
        <w:rPr>
          <w:rFonts w:ascii="Verdana" w:hAnsi="Verdana"/>
          <w:sz w:val="24"/>
          <w:szCs w:val="24"/>
        </w:rPr>
      </w:pPr>
      <w:proofErr w:type="spellStart"/>
      <w:r>
        <w:rPr>
          <w:rFonts w:ascii="Verdana" w:hAnsi="Verdana"/>
          <w:sz w:val="24"/>
          <w:szCs w:val="24"/>
        </w:rPr>
        <w:t>Facebook’s</w:t>
      </w:r>
      <w:proofErr w:type="spellEnd"/>
      <w:r>
        <w:rPr>
          <w:rFonts w:ascii="Verdana" w:hAnsi="Verdana"/>
          <w:sz w:val="24"/>
          <w:szCs w:val="24"/>
        </w:rPr>
        <w:t xml:space="preserve"> financial disclosures as reported in its recent S-1 filing should be anointed the “gold standard” for internet companies planning initial public offerings (IPOs).  Had Groupon been able to see Facebook’s registration statement before its public offering, there is no telling what IPO price they might have realized…probably a more realistic one!</w:t>
      </w:r>
      <w:r w:rsidR="00DD5F13" w:rsidRPr="00DD5F13">
        <w:rPr>
          <w:rFonts w:ascii="Verdana" w:hAnsi="Verdana"/>
          <w:sz w:val="24"/>
          <w:szCs w:val="24"/>
        </w:rPr>
        <w:t xml:space="preserve"> </w:t>
      </w:r>
      <w:r w:rsidR="00DD5F13">
        <w:rPr>
          <w:rFonts w:ascii="Verdana" w:hAnsi="Verdana"/>
          <w:sz w:val="24"/>
          <w:szCs w:val="24"/>
        </w:rPr>
        <w:t>And kudos to the San Francisco office of Ernst &amp; Young (</w:t>
      </w:r>
      <w:r w:rsidR="0064571F">
        <w:rPr>
          <w:rFonts w:ascii="Verdana" w:hAnsi="Verdana"/>
          <w:sz w:val="24"/>
          <w:szCs w:val="24"/>
        </w:rPr>
        <w:t>E&amp;Y) who apparently really know</w:t>
      </w:r>
      <w:r w:rsidR="00C223F8">
        <w:rPr>
          <w:rFonts w:ascii="Verdana" w:hAnsi="Verdana"/>
          <w:sz w:val="24"/>
          <w:szCs w:val="24"/>
        </w:rPr>
        <w:t xml:space="preserve"> their</w:t>
      </w:r>
      <w:r w:rsidR="00DD5F13">
        <w:rPr>
          <w:rFonts w:ascii="Verdana" w:hAnsi="Verdana"/>
          <w:sz w:val="24"/>
          <w:szCs w:val="24"/>
        </w:rPr>
        <w:t xml:space="preserve"> stuff when it comes to advising clients on internet company accounting and reporting.  Too bad, Groupon picked E&amp;Y Chicago.</w:t>
      </w:r>
    </w:p>
    <w:p w:rsidR="003B73F8" w:rsidRDefault="003B73F8" w:rsidP="00443473">
      <w:pPr>
        <w:rPr>
          <w:rFonts w:ascii="Verdana" w:hAnsi="Verdana"/>
          <w:sz w:val="24"/>
          <w:szCs w:val="24"/>
        </w:rPr>
      </w:pPr>
    </w:p>
    <w:p w:rsidR="00DD5F13" w:rsidRDefault="003B73F8" w:rsidP="00443473">
      <w:pPr>
        <w:rPr>
          <w:rFonts w:ascii="Verdana" w:hAnsi="Verdana"/>
          <w:sz w:val="24"/>
          <w:szCs w:val="24"/>
        </w:rPr>
      </w:pPr>
      <w:r>
        <w:rPr>
          <w:rFonts w:ascii="Verdana" w:hAnsi="Verdana"/>
          <w:sz w:val="24"/>
          <w:szCs w:val="24"/>
        </w:rPr>
        <w:t xml:space="preserve">So, what motivates two Grumpy Old Accountants who are notoriously stingy for giving out A’s to their students to award Facebook this grade?  Simple: </w:t>
      </w:r>
      <w:r w:rsidRPr="003B73F8">
        <w:rPr>
          <w:rFonts w:ascii="Verdana" w:hAnsi="Verdana"/>
          <w:b/>
          <w:i/>
          <w:sz w:val="24"/>
          <w:szCs w:val="24"/>
        </w:rPr>
        <w:t>financial reporting transparency</w:t>
      </w:r>
      <w:r>
        <w:rPr>
          <w:rFonts w:ascii="Verdana" w:hAnsi="Verdana"/>
          <w:sz w:val="24"/>
          <w:szCs w:val="24"/>
        </w:rPr>
        <w:t>.  No games, no hype, no s</w:t>
      </w:r>
      <w:r w:rsidR="00144230">
        <w:rPr>
          <w:rFonts w:ascii="Verdana" w:hAnsi="Verdana"/>
          <w:sz w:val="24"/>
          <w:szCs w:val="24"/>
        </w:rPr>
        <w:t xml:space="preserve">pin; </w:t>
      </w:r>
      <w:r w:rsidR="00BC1134">
        <w:rPr>
          <w:rFonts w:ascii="Verdana" w:hAnsi="Verdana"/>
          <w:sz w:val="24"/>
          <w:szCs w:val="24"/>
        </w:rPr>
        <w:t xml:space="preserve">just </w:t>
      </w:r>
      <w:r>
        <w:rPr>
          <w:rFonts w:ascii="Verdana" w:hAnsi="Verdana"/>
          <w:sz w:val="24"/>
          <w:szCs w:val="24"/>
        </w:rPr>
        <w:t>quality, detailed</w:t>
      </w:r>
      <w:r w:rsidR="003441F1">
        <w:rPr>
          <w:rFonts w:ascii="Verdana" w:hAnsi="Verdana"/>
          <w:sz w:val="24"/>
          <w:szCs w:val="24"/>
        </w:rPr>
        <w:t>, investor-relevant</w:t>
      </w:r>
      <w:r>
        <w:rPr>
          <w:rFonts w:ascii="Verdana" w:hAnsi="Verdana"/>
          <w:sz w:val="24"/>
          <w:szCs w:val="24"/>
        </w:rPr>
        <w:t xml:space="preserve"> disclosures not commonly found in </w:t>
      </w:r>
      <w:r w:rsidR="00144230">
        <w:rPr>
          <w:rFonts w:ascii="Verdana" w:hAnsi="Verdana"/>
          <w:sz w:val="24"/>
          <w:szCs w:val="24"/>
        </w:rPr>
        <w:t xml:space="preserve">most </w:t>
      </w:r>
      <w:r>
        <w:rPr>
          <w:rFonts w:ascii="Verdana" w:hAnsi="Verdana"/>
          <w:sz w:val="24"/>
          <w:szCs w:val="24"/>
        </w:rPr>
        <w:t>internet company IPO filings.</w:t>
      </w:r>
      <w:r w:rsidR="003441F1">
        <w:rPr>
          <w:rFonts w:ascii="Verdana" w:hAnsi="Verdana"/>
          <w:sz w:val="24"/>
          <w:szCs w:val="24"/>
        </w:rPr>
        <w:t xml:space="preserve">  </w:t>
      </w:r>
      <w:r w:rsidR="00DD5F13">
        <w:rPr>
          <w:rFonts w:ascii="Verdana" w:hAnsi="Verdana"/>
          <w:sz w:val="24"/>
          <w:szCs w:val="24"/>
        </w:rPr>
        <w:t xml:space="preserve">Facebook even went the extra mile to report in detail the not so flattering stuff…what an interesting concept: </w:t>
      </w:r>
      <w:r w:rsidR="00DD5F13" w:rsidRPr="0064571F">
        <w:rPr>
          <w:rFonts w:ascii="Verdana" w:hAnsi="Verdana"/>
          <w:i/>
          <w:sz w:val="24"/>
          <w:szCs w:val="24"/>
        </w:rPr>
        <w:t>honest reporting</w:t>
      </w:r>
      <w:r w:rsidR="00DD5F13">
        <w:rPr>
          <w:rFonts w:ascii="Verdana" w:hAnsi="Verdana"/>
          <w:sz w:val="24"/>
          <w:szCs w:val="24"/>
        </w:rPr>
        <w:t>.  Enough with the generalities, let’s get to the specifics, beginning with the good stuff.</w:t>
      </w:r>
    </w:p>
    <w:p w:rsidR="00DD5F13" w:rsidRDefault="00DD5F13" w:rsidP="00443473">
      <w:pPr>
        <w:rPr>
          <w:rFonts w:ascii="Verdana" w:hAnsi="Verdana"/>
          <w:sz w:val="24"/>
          <w:szCs w:val="24"/>
        </w:rPr>
      </w:pPr>
    </w:p>
    <w:p w:rsidR="00DD5F13" w:rsidRDefault="00FD4ECD" w:rsidP="00443473">
      <w:pPr>
        <w:rPr>
          <w:rFonts w:ascii="Verdana" w:hAnsi="Verdana"/>
          <w:sz w:val="24"/>
          <w:szCs w:val="24"/>
        </w:rPr>
      </w:pPr>
      <w:r>
        <w:rPr>
          <w:rFonts w:ascii="Verdana" w:hAnsi="Verdana"/>
          <w:sz w:val="24"/>
          <w:szCs w:val="24"/>
        </w:rPr>
        <w:t xml:space="preserve">Are you sitting down for this?  Facebook does NOT use the term EBITDA (earnings before interest, taxes, depreciation, and amortization) or adjusted EBITDA </w:t>
      </w:r>
      <w:r w:rsidRPr="00FD4ECD">
        <w:rPr>
          <w:rFonts w:ascii="Verdana" w:hAnsi="Verdana"/>
          <w:i/>
          <w:sz w:val="24"/>
          <w:szCs w:val="24"/>
        </w:rPr>
        <w:t>anywhere</w:t>
      </w:r>
      <w:r>
        <w:rPr>
          <w:rFonts w:ascii="Verdana" w:hAnsi="Verdana"/>
          <w:sz w:val="24"/>
          <w:szCs w:val="24"/>
        </w:rPr>
        <w:t xml:space="preserve"> in its securities filing.  This suggests that the Company has absolutely no problem reporting its performance using income amounts computed using generally accepted accounting principles (GAAP).  When was the last time we saw an internet company NOT make excuses about how GAAP failed to reflect reality for their operations?</w:t>
      </w:r>
    </w:p>
    <w:p w:rsidR="00FD4ECD" w:rsidRDefault="00FD4ECD" w:rsidP="00443473">
      <w:pPr>
        <w:rPr>
          <w:rFonts w:ascii="Verdana" w:hAnsi="Verdana"/>
          <w:sz w:val="24"/>
          <w:szCs w:val="24"/>
        </w:rPr>
      </w:pPr>
    </w:p>
    <w:p w:rsidR="00FD4ECD" w:rsidRDefault="00FD4ECD" w:rsidP="00443473">
      <w:pPr>
        <w:rPr>
          <w:rFonts w:ascii="Verdana" w:hAnsi="Verdana"/>
          <w:sz w:val="24"/>
          <w:szCs w:val="24"/>
        </w:rPr>
      </w:pPr>
      <w:r>
        <w:rPr>
          <w:rFonts w:ascii="Verdana" w:hAnsi="Verdana"/>
          <w:sz w:val="24"/>
          <w:szCs w:val="24"/>
        </w:rPr>
        <w:t>If that doesn’t trip your trigger, how about this?</w:t>
      </w:r>
      <w:r w:rsidR="00BC1134">
        <w:rPr>
          <w:rFonts w:ascii="Verdana" w:hAnsi="Verdana"/>
          <w:sz w:val="24"/>
          <w:szCs w:val="24"/>
        </w:rPr>
        <w:t xml:space="preserve">  Facebook actually recognizes revenue in a simple, straightforward manner.  There are no multiple deliverable issues as in the case of LinkedIn, or the “gross vs. net”</w:t>
      </w:r>
      <w:r w:rsidR="008755DA">
        <w:rPr>
          <w:rFonts w:ascii="Verdana" w:hAnsi="Verdana"/>
          <w:sz w:val="24"/>
          <w:szCs w:val="24"/>
        </w:rPr>
        <w:t xml:space="preserve"> questions that</w:t>
      </w:r>
      <w:r w:rsidR="00BC1134">
        <w:rPr>
          <w:rFonts w:ascii="Verdana" w:hAnsi="Verdana"/>
          <w:sz w:val="24"/>
          <w:szCs w:val="24"/>
        </w:rPr>
        <w:t xml:space="preserve"> plagued Groupon</w:t>
      </w:r>
      <w:r w:rsidR="0064571F">
        <w:rPr>
          <w:rFonts w:ascii="Verdana" w:hAnsi="Verdana"/>
          <w:sz w:val="24"/>
          <w:szCs w:val="24"/>
        </w:rPr>
        <w:t xml:space="preserve"> (see </w:t>
      </w:r>
      <w:hyperlink r:id="rId6" w:history="1">
        <w:r w:rsidR="0064571F" w:rsidRPr="0064571F">
          <w:rPr>
            <w:rStyle w:val="Hyperlink"/>
            <w:rFonts w:ascii="Verdana" w:hAnsi="Verdana"/>
            <w:sz w:val="24"/>
            <w:szCs w:val="24"/>
          </w:rPr>
          <w:t>Trust No One, Particularly Not Groupon’s Accountants</w:t>
        </w:r>
      </w:hyperlink>
      <w:r w:rsidR="0064571F">
        <w:rPr>
          <w:rFonts w:ascii="Verdana" w:hAnsi="Verdana"/>
          <w:sz w:val="24"/>
          <w:szCs w:val="24"/>
        </w:rPr>
        <w:t>)</w:t>
      </w:r>
      <w:r w:rsidR="00BC1134">
        <w:rPr>
          <w:rFonts w:ascii="Verdana" w:hAnsi="Verdana"/>
          <w:sz w:val="24"/>
          <w:szCs w:val="24"/>
        </w:rPr>
        <w:t>.  Advertising revenue is recorded when vendor ads appear to users, or in the case of “click-based” ads, in the period a user clicks on an ad.  For its payment processing services, Facebook records its negotiated fee when users make purchases from Platform developers.</w:t>
      </w:r>
      <w:r w:rsidR="001D3852">
        <w:rPr>
          <w:rFonts w:ascii="Verdana" w:hAnsi="Verdana"/>
          <w:sz w:val="24"/>
          <w:szCs w:val="24"/>
        </w:rPr>
        <w:t xml:space="preserve">  </w:t>
      </w:r>
    </w:p>
    <w:p w:rsidR="001D3852" w:rsidRDefault="001D3852" w:rsidP="00443473">
      <w:pPr>
        <w:rPr>
          <w:rFonts w:ascii="Verdana" w:hAnsi="Verdana"/>
          <w:sz w:val="24"/>
          <w:szCs w:val="24"/>
        </w:rPr>
      </w:pPr>
    </w:p>
    <w:p w:rsidR="001D3852" w:rsidRDefault="001D3852" w:rsidP="00443473">
      <w:pPr>
        <w:rPr>
          <w:rFonts w:ascii="Verdana" w:hAnsi="Verdana"/>
          <w:sz w:val="24"/>
          <w:szCs w:val="24"/>
        </w:rPr>
      </w:pPr>
      <w:r>
        <w:rPr>
          <w:rFonts w:ascii="Verdana" w:hAnsi="Verdana"/>
          <w:sz w:val="24"/>
          <w:szCs w:val="24"/>
        </w:rPr>
        <w:t xml:space="preserve">And then there is the fact that Company has “real” and growing operating cash flows from its operating activities that actually exceed reported net earnings during each of the past two years.  If that doesn’t bring a smile to your face, then how about the fact that Facebook’s free cash flow (FCF) definition deducts not only property and equipment purchases from </w:t>
      </w:r>
      <w:r>
        <w:rPr>
          <w:rFonts w:ascii="Verdana" w:hAnsi="Verdana"/>
          <w:sz w:val="24"/>
          <w:szCs w:val="24"/>
        </w:rPr>
        <w:lastRenderedPageBreak/>
        <w:t xml:space="preserve">operating cash flow, but also property and equipment acquired under capital leases.  Yes, this is a small thing, but it suggests that the Company values good numbers, not “make believe” metrics like Groupon’s consolidated segment </w:t>
      </w:r>
      <w:r w:rsidR="0064571F">
        <w:rPr>
          <w:rFonts w:ascii="Verdana" w:hAnsi="Verdana"/>
          <w:sz w:val="24"/>
          <w:szCs w:val="24"/>
        </w:rPr>
        <w:t xml:space="preserve">operating income </w:t>
      </w:r>
      <w:r w:rsidR="006105F6">
        <w:rPr>
          <w:rFonts w:ascii="Verdana" w:hAnsi="Verdana"/>
          <w:sz w:val="24"/>
          <w:szCs w:val="24"/>
        </w:rPr>
        <w:t>metric</w:t>
      </w:r>
      <w:r w:rsidR="0064571F">
        <w:rPr>
          <w:rFonts w:ascii="Verdana" w:hAnsi="Verdana"/>
          <w:sz w:val="24"/>
          <w:szCs w:val="24"/>
        </w:rPr>
        <w:t xml:space="preserve"> (see </w:t>
      </w:r>
      <w:hyperlink r:id="rId7" w:history="1">
        <w:r w:rsidR="0064571F" w:rsidRPr="0064571F">
          <w:rPr>
            <w:rStyle w:val="Hyperlink"/>
            <w:rFonts w:ascii="Verdana" w:hAnsi="Verdana"/>
            <w:sz w:val="24"/>
            <w:szCs w:val="24"/>
          </w:rPr>
          <w:t>Groupon: Comedy or Drama</w:t>
        </w:r>
      </w:hyperlink>
      <w:r w:rsidR="0064571F">
        <w:rPr>
          <w:rFonts w:ascii="Verdana" w:hAnsi="Verdana"/>
          <w:sz w:val="24"/>
          <w:szCs w:val="24"/>
        </w:rPr>
        <w:t>)</w:t>
      </w:r>
      <w:r>
        <w:rPr>
          <w:rFonts w:ascii="Verdana" w:hAnsi="Verdana"/>
          <w:sz w:val="24"/>
          <w:szCs w:val="24"/>
        </w:rPr>
        <w:t>.</w:t>
      </w:r>
      <w:r w:rsidR="00961BDA">
        <w:rPr>
          <w:rFonts w:ascii="Verdana" w:hAnsi="Verdana"/>
          <w:sz w:val="24"/>
          <w:szCs w:val="24"/>
        </w:rPr>
        <w:t xml:space="preserve">  How refreshing!</w:t>
      </w:r>
      <w:r w:rsidR="006F294F">
        <w:rPr>
          <w:rFonts w:ascii="Verdana" w:hAnsi="Verdana"/>
          <w:sz w:val="24"/>
          <w:szCs w:val="24"/>
        </w:rPr>
        <w:t xml:space="preserve">  Additionally, it is now crystal clear why Groupon’s investment bankers held institutional investors hostage by making them buy Groupon in order to get a piece of Facebook.  The contrast between both companies is staggering.</w:t>
      </w:r>
    </w:p>
    <w:p w:rsidR="00961BDA" w:rsidRDefault="00961BDA" w:rsidP="00443473">
      <w:pPr>
        <w:rPr>
          <w:rFonts w:ascii="Verdana" w:hAnsi="Verdana"/>
          <w:sz w:val="24"/>
          <w:szCs w:val="24"/>
        </w:rPr>
      </w:pPr>
    </w:p>
    <w:p w:rsidR="00961BDA" w:rsidRDefault="00961BDA" w:rsidP="00443473">
      <w:pPr>
        <w:rPr>
          <w:rFonts w:ascii="Verdana" w:hAnsi="Verdana"/>
          <w:sz w:val="24"/>
          <w:szCs w:val="24"/>
        </w:rPr>
      </w:pPr>
      <w:r>
        <w:rPr>
          <w:rFonts w:ascii="Verdana" w:hAnsi="Verdana"/>
          <w:sz w:val="24"/>
          <w:szCs w:val="24"/>
        </w:rPr>
        <w:t xml:space="preserve">What also got our attention is that Facebook actually appears to </w:t>
      </w:r>
      <w:r w:rsidR="00FF3037">
        <w:rPr>
          <w:rFonts w:ascii="Verdana" w:hAnsi="Verdana"/>
          <w:sz w:val="24"/>
          <w:szCs w:val="24"/>
        </w:rPr>
        <w:t xml:space="preserve">be </w:t>
      </w:r>
      <w:r>
        <w:rPr>
          <w:rFonts w:ascii="Verdana" w:hAnsi="Verdana"/>
          <w:sz w:val="24"/>
          <w:szCs w:val="24"/>
        </w:rPr>
        <w:t xml:space="preserve">making money even </w:t>
      </w:r>
      <w:r w:rsidR="008755DA">
        <w:rPr>
          <w:rFonts w:ascii="Verdana" w:hAnsi="Verdana"/>
          <w:sz w:val="24"/>
          <w:szCs w:val="24"/>
        </w:rPr>
        <w:t xml:space="preserve">when </w:t>
      </w:r>
      <w:r>
        <w:rPr>
          <w:rFonts w:ascii="Verdana" w:hAnsi="Verdana"/>
          <w:sz w:val="24"/>
          <w:szCs w:val="24"/>
        </w:rPr>
        <w:t>using GAAP numbers.</w:t>
      </w:r>
      <w:r w:rsidR="008755DA">
        <w:rPr>
          <w:rFonts w:ascii="Verdana" w:hAnsi="Verdana"/>
          <w:sz w:val="24"/>
          <w:szCs w:val="24"/>
        </w:rPr>
        <w:t xml:space="preserve">  </w:t>
      </w:r>
      <w:r w:rsidR="00B7668E">
        <w:rPr>
          <w:rFonts w:ascii="Verdana" w:hAnsi="Verdana"/>
          <w:sz w:val="24"/>
          <w:szCs w:val="24"/>
        </w:rPr>
        <w:t xml:space="preserve">And the Company’s conservatism ratio (which compares net income before tax with estimated taxable income) yields not a hint of aggressive revenue recognition in either 2010 or 2011 with ratios of 1.05 and .95 respectively.  </w:t>
      </w:r>
      <w:r w:rsidR="008755DA">
        <w:rPr>
          <w:rFonts w:ascii="Verdana" w:hAnsi="Verdana"/>
          <w:sz w:val="24"/>
          <w:szCs w:val="24"/>
        </w:rPr>
        <w:t>The table below shows healthy three-year performance for both return on equity (ROE) and profit margin.</w:t>
      </w:r>
    </w:p>
    <w:p w:rsidR="00C96B94" w:rsidRDefault="00C96B94" w:rsidP="00443473">
      <w:pPr>
        <w:rPr>
          <w:rFonts w:ascii="Verdana" w:hAnsi="Verdana"/>
          <w:sz w:val="24"/>
          <w:szCs w:val="24"/>
        </w:rPr>
      </w:pPr>
    </w:p>
    <w:tbl>
      <w:tblPr>
        <w:tblW w:w="0" w:type="auto"/>
        <w:jc w:val="center"/>
        <w:tblInd w:w="78" w:type="dxa"/>
        <w:tblLayout w:type="fixed"/>
        <w:tblLook w:val="0000"/>
      </w:tblPr>
      <w:tblGrid>
        <w:gridCol w:w="2134"/>
        <w:gridCol w:w="1017"/>
        <w:gridCol w:w="982"/>
        <w:gridCol w:w="981"/>
      </w:tblGrid>
      <w:tr w:rsidR="00C96B94" w:rsidRPr="00C96B94" w:rsidTr="00C96B94">
        <w:trPr>
          <w:trHeight w:val="247"/>
          <w:jc w:val="center"/>
        </w:trPr>
        <w:tc>
          <w:tcPr>
            <w:tcW w:w="2134" w:type="dxa"/>
            <w:tcBorders>
              <w:top w:val="nil"/>
              <w:left w:val="nil"/>
              <w:bottom w:val="nil"/>
              <w:right w:val="nil"/>
            </w:tcBorders>
          </w:tcPr>
          <w:p w:rsidR="00C96B94" w:rsidRPr="00C96B94" w:rsidRDefault="00C96B94" w:rsidP="00443473">
            <w:pPr>
              <w:autoSpaceDE w:val="0"/>
              <w:autoSpaceDN w:val="0"/>
              <w:adjustRightInd w:val="0"/>
              <w:jc w:val="right"/>
              <w:rPr>
                <w:rFonts w:ascii="Arial" w:hAnsi="Arial" w:cs="Arial"/>
                <w:color w:val="000000"/>
                <w:sz w:val="20"/>
                <w:szCs w:val="20"/>
              </w:rPr>
            </w:pPr>
          </w:p>
        </w:tc>
        <w:tc>
          <w:tcPr>
            <w:tcW w:w="1017"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b/>
                <w:bCs/>
                <w:color w:val="000000"/>
                <w:sz w:val="20"/>
                <w:szCs w:val="20"/>
              </w:rPr>
            </w:pPr>
            <w:r w:rsidRPr="00C96B94">
              <w:rPr>
                <w:rFonts w:ascii="Arial" w:hAnsi="Arial" w:cs="Arial"/>
                <w:b/>
                <w:bCs/>
                <w:color w:val="000000"/>
                <w:sz w:val="20"/>
                <w:szCs w:val="20"/>
              </w:rPr>
              <w:t>2009</w:t>
            </w:r>
          </w:p>
        </w:tc>
        <w:tc>
          <w:tcPr>
            <w:tcW w:w="982"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b/>
                <w:bCs/>
                <w:color w:val="000000"/>
                <w:sz w:val="20"/>
                <w:szCs w:val="20"/>
              </w:rPr>
            </w:pPr>
            <w:r w:rsidRPr="00C96B94">
              <w:rPr>
                <w:rFonts w:ascii="Arial" w:hAnsi="Arial" w:cs="Arial"/>
                <w:b/>
                <w:bCs/>
                <w:color w:val="000000"/>
                <w:sz w:val="20"/>
                <w:szCs w:val="20"/>
              </w:rPr>
              <w:t>2010</w:t>
            </w:r>
          </w:p>
        </w:tc>
        <w:tc>
          <w:tcPr>
            <w:tcW w:w="981"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b/>
                <w:bCs/>
                <w:color w:val="000000"/>
                <w:sz w:val="20"/>
                <w:szCs w:val="20"/>
              </w:rPr>
            </w:pPr>
            <w:r w:rsidRPr="00C96B94">
              <w:rPr>
                <w:rFonts w:ascii="Arial" w:hAnsi="Arial" w:cs="Arial"/>
                <w:b/>
                <w:bCs/>
                <w:color w:val="000000"/>
                <w:sz w:val="20"/>
                <w:szCs w:val="20"/>
              </w:rPr>
              <w:t>2011</w:t>
            </w:r>
          </w:p>
        </w:tc>
      </w:tr>
      <w:tr w:rsidR="00C96B94" w:rsidRPr="00C96B94" w:rsidTr="00C96B94">
        <w:trPr>
          <w:trHeight w:val="247"/>
          <w:jc w:val="center"/>
        </w:trPr>
        <w:tc>
          <w:tcPr>
            <w:tcW w:w="2134" w:type="dxa"/>
            <w:tcBorders>
              <w:top w:val="nil"/>
              <w:left w:val="nil"/>
              <w:bottom w:val="nil"/>
              <w:right w:val="nil"/>
            </w:tcBorders>
          </w:tcPr>
          <w:p w:rsidR="00C96B94" w:rsidRPr="00C96B94" w:rsidRDefault="00C96B94" w:rsidP="00443473">
            <w:pPr>
              <w:autoSpaceDE w:val="0"/>
              <w:autoSpaceDN w:val="0"/>
              <w:adjustRightInd w:val="0"/>
              <w:rPr>
                <w:rFonts w:ascii="Arial" w:hAnsi="Arial" w:cs="Arial"/>
                <w:color w:val="000000"/>
                <w:sz w:val="20"/>
                <w:szCs w:val="20"/>
              </w:rPr>
            </w:pPr>
            <w:r w:rsidRPr="00C96B94">
              <w:rPr>
                <w:rFonts w:ascii="Arial" w:hAnsi="Arial" w:cs="Arial"/>
                <w:color w:val="000000"/>
                <w:sz w:val="20"/>
                <w:szCs w:val="20"/>
              </w:rPr>
              <w:t>Return on Equity</w:t>
            </w:r>
          </w:p>
        </w:tc>
        <w:tc>
          <w:tcPr>
            <w:tcW w:w="1017"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38.07%</w:t>
            </w:r>
          </w:p>
        </w:tc>
        <w:tc>
          <w:tcPr>
            <w:tcW w:w="982"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40.00%</w:t>
            </w:r>
          </w:p>
        </w:tc>
        <w:tc>
          <w:tcPr>
            <w:tcW w:w="981"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28.32%</w:t>
            </w:r>
          </w:p>
        </w:tc>
      </w:tr>
      <w:tr w:rsidR="00C96B94" w:rsidRPr="00C96B94" w:rsidTr="00C96B94">
        <w:trPr>
          <w:trHeight w:val="247"/>
          <w:jc w:val="center"/>
        </w:trPr>
        <w:tc>
          <w:tcPr>
            <w:tcW w:w="2134" w:type="dxa"/>
            <w:tcBorders>
              <w:top w:val="nil"/>
              <w:left w:val="nil"/>
              <w:bottom w:val="nil"/>
              <w:right w:val="nil"/>
            </w:tcBorders>
          </w:tcPr>
          <w:p w:rsidR="00C96B94" w:rsidRPr="00C96B94" w:rsidRDefault="00C96B94" w:rsidP="00443473">
            <w:pPr>
              <w:autoSpaceDE w:val="0"/>
              <w:autoSpaceDN w:val="0"/>
              <w:adjustRightInd w:val="0"/>
              <w:rPr>
                <w:rFonts w:ascii="Arial" w:hAnsi="Arial" w:cs="Arial"/>
                <w:color w:val="000000"/>
                <w:sz w:val="20"/>
                <w:szCs w:val="20"/>
              </w:rPr>
            </w:pPr>
            <w:r w:rsidRPr="00C96B94">
              <w:rPr>
                <w:rFonts w:ascii="Arial" w:hAnsi="Arial" w:cs="Arial"/>
                <w:color w:val="000000"/>
                <w:sz w:val="20"/>
                <w:szCs w:val="20"/>
              </w:rPr>
              <w:t>Profit Margin</w:t>
            </w:r>
          </w:p>
        </w:tc>
        <w:tc>
          <w:tcPr>
            <w:tcW w:w="1017"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29.47%</w:t>
            </w:r>
          </w:p>
        </w:tc>
        <w:tc>
          <w:tcPr>
            <w:tcW w:w="982"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30.70%</w:t>
            </w:r>
          </w:p>
        </w:tc>
        <w:tc>
          <w:tcPr>
            <w:tcW w:w="981"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26.95%</w:t>
            </w:r>
          </w:p>
        </w:tc>
      </w:tr>
      <w:tr w:rsidR="00C96B94" w:rsidRPr="00C96B94" w:rsidTr="00C96B94">
        <w:trPr>
          <w:trHeight w:val="247"/>
          <w:jc w:val="center"/>
        </w:trPr>
        <w:tc>
          <w:tcPr>
            <w:tcW w:w="2134" w:type="dxa"/>
            <w:tcBorders>
              <w:top w:val="nil"/>
              <w:left w:val="nil"/>
              <w:bottom w:val="nil"/>
              <w:right w:val="nil"/>
            </w:tcBorders>
          </w:tcPr>
          <w:p w:rsidR="00C96B94" w:rsidRPr="00C96B94" w:rsidRDefault="00C96B94" w:rsidP="00443473">
            <w:pPr>
              <w:autoSpaceDE w:val="0"/>
              <w:autoSpaceDN w:val="0"/>
              <w:adjustRightInd w:val="0"/>
              <w:rPr>
                <w:rFonts w:ascii="Arial" w:hAnsi="Arial" w:cs="Arial"/>
                <w:color w:val="000000"/>
                <w:sz w:val="20"/>
                <w:szCs w:val="20"/>
              </w:rPr>
            </w:pPr>
            <w:r w:rsidRPr="00C96B94">
              <w:rPr>
                <w:rFonts w:ascii="Arial" w:hAnsi="Arial" w:cs="Arial"/>
                <w:color w:val="000000"/>
                <w:sz w:val="20"/>
                <w:szCs w:val="20"/>
              </w:rPr>
              <w:t>Asset Turnover</w:t>
            </w:r>
          </w:p>
        </w:tc>
        <w:tc>
          <w:tcPr>
            <w:tcW w:w="1017"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0.96</w:t>
            </w:r>
          </w:p>
        </w:tc>
        <w:tc>
          <w:tcPr>
            <w:tcW w:w="982"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0.96</w:t>
            </w:r>
          </w:p>
        </w:tc>
        <w:tc>
          <w:tcPr>
            <w:tcW w:w="981"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0.80</w:t>
            </w:r>
          </w:p>
        </w:tc>
      </w:tr>
      <w:tr w:rsidR="00C96B94" w:rsidRPr="00C96B94" w:rsidTr="00C96B94">
        <w:trPr>
          <w:trHeight w:val="247"/>
          <w:jc w:val="center"/>
        </w:trPr>
        <w:tc>
          <w:tcPr>
            <w:tcW w:w="2134" w:type="dxa"/>
            <w:tcBorders>
              <w:top w:val="nil"/>
              <w:left w:val="nil"/>
              <w:bottom w:val="nil"/>
              <w:right w:val="nil"/>
            </w:tcBorders>
          </w:tcPr>
          <w:p w:rsidR="00C96B94" w:rsidRPr="00C96B94" w:rsidRDefault="00C96B94" w:rsidP="00443473">
            <w:pPr>
              <w:autoSpaceDE w:val="0"/>
              <w:autoSpaceDN w:val="0"/>
              <w:adjustRightInd w:val="0"/>
              <w:rPr>
                <w:rFonts w:ascii="Arial" w:hAnsi="Arial" w:cs="Arial"/>
                <w:color w:val="000000"/>
                <w:sz w:val="20"/>
                <w:szCs w:val="20"/>
              </w:rPr>
            </w:pPr>
            <w:r w:rsidRPr="00C96B94">
              <w:rPr>
                <w:rFonts w:ascii="Arial" w:hAnsi="Arial" w:cs="Arial"/>
                <w:color w:val="000000"/>
                <w:sz w:val="20"/>
                <w:szCs w:val="20"/>
              </w:rPr>
              <w:t>Leverage</w:t>
            </w:r>
          </w:p>
        </w:tc>
        <w:tc>
          <w:tcPr>
            <w:tcW w:w="1017"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1.34</w:t>
            </w:r>
          </w:p>
        </w:tc>
        <w:tc>
          <w:tcPr>
            <w:tcW w:w="982"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1.35</w:t>
            </w:r>
          </w:p>
        </w:tc>
        <w:tc>
          <w:tcPr>
            <w:tcW w:w="981" w:type="dxa"/>
            <w:tcBorders>
              <w:top w:val="nil"/>
              <w:left w:val="nil"/>
              <w:bottom w:val="nil"/>
              <w:right w:val="nil"/>
            </w:tcBorders>
          </w:tcPr>
          <w:p w:rsidR="00C96B94" w:rsidRPr="00C96B94" w:rsidRDefault="00C96B94" w:rsidP="00443473">
            <w:pPr>
              <w:autoSpaceDE w:val="0"/>
              <w:autoSpaceDN w:val="0"/>
              <w:adjustRightInd w:val="0"/>
              <w:jc w:val="center"/>
              <w:rPr>
                <w:rFonts w:ascii="Arial" w:hAnsi="Arial" w:cs="Arial"/>
                <w:color w:val="000000"/>
                <w:sz w:val="20"/>
                <w:szCs w:val="20"/>
              </w:rPr>
            </w:pPr>
            <w:r w:rsidRPr="00C96B94">
              <w:rPr>
                <w:rFonts w:ascii="Arial" w:hAnsi="Arial" w:cs="Arial"/>
                <w:color w:val="000000"/>
                <w:sz w:val="20"/>
                <w:szCs w:val="20"/>
              </w:rPr>
              <w:t>1.32</w:t>
            </w:r>
          </w:p>
        </w:tc>
      </w:tr>
    </w:tbl>
    <w:p w:rsidR="001D3852" w:rsidRDefault="00C96B94" w:rsidP="00443473">
      <w:pPr>
        <w:rPr>
          <w:rFonts w:ascii="Verdana" w:hAnsi="Verdana"/>
          <w:sz w:val="24"/>
          <w:szCs w:val="24"/>
        </w:rPr>
      </w:pPr>
      <w:r>
        <w:rPr>
          <w:rFonts w:ascii="Verdana" w:hAnsi="Verdana"/>
          <w:sz w:val="24"/>
          <w:szCs w:val="24"/>
        </w:rPr>
        <w:br w:type="textWrapping" w:clear="all"/>
      </w:r>
    </w:p>
    <w:p w:rsidR="00C96B94" w:rsidRDefault="00C96B94" w:rsidP="00443473">
      <w:pPr>
        <w:rPr>
          <w:rFonts w:ascii="Verdana" w:hAnsi="Verdana"/>
          <w:sz w:val="24"/>
          <w:szCs w:val="24"/>
        </w:rPr>
      </w:pPr>
      <w:r>
        <w:rPr>
          <w:rFonts w:ascii="Verdana" w:hAnsi="Verdana"/>
          <w:sz w:val="24"/>
          <w:szCs w:val="24"/>
        </w:rPr>
        <w:t xml:space="preserve">While the asset turnover and leverage look weak, it’s hard to complain about the financial health of a company with almost 59 percent of its assets in cash and marketable securities, and that finances its “reported” assets with 79.5 percent in stockholders’ equity.  We wonder what the </w:t>
      </w:r>
      <w:r w:rsidR="00D97B62">
        <w:rPr>
          <w:rFonts w:ascii="Verdana" w:hAnsi="Verdana"/>
          <w:sz w:val="24"/>
          <w:szCs w:val="24"/>
        </w:rPr>
        <w:t>DuPont</w:t>
      </w:r>
      <w:r>
        <w:rPr>
          <w:rFonts w:ascii="Verdana" w:hAnsi="Verdana"/>
          <w:sz w:val="24"/>
          <w:szCs w:val="24"/>
        </w:rPr>
        <w:t xml:space="preserve"> Model ratios would look like if the Company was</w:t>
      </w:r>
      <w:r w:rsidR="006105F6">
        <w:rPr>
          <w:rFonts w:ascii="Verdana" w:hAnsi="Verdana"/>
          <w:sz w:val="24"/>
          <w:szCs w:val="24"/>
        </w:rPr>
        <w:t xml:space="preserve"> allowed to report the global communication</w:t>
      </w:r>
      <w:r>
        <w:rPr>
          <w:rFonts w:ascii="Verdana" w:hAnsi="Verdana"/>
          <w:sz w:val="24"/>
          <w:szCs w:val="24"/>
        </w:rPr>
        <w:t xml:space="preserve"> intangible assets it has created</w:t>
      </w:r>
      <w:r w:rsidR="006105F6">
        <w:rPr>
          <w:rFonts w:ascii="Verdana" w:hAnsi="Verdana"/>
          <w:sz w:val="24"/>
          <w:szCs w:val="24"/>
        </w:rPr>
        <w:t>.</w:t>
      </w:r>
    </w:p>
    <w:p w:rsidR="006105F6" w:rsidRDefault="006105F6" w:rsidP="00443473">
      <w:pPr>
        <w:rPr>
          <w:rFonts w:ascii="Verdana" w:hAnsi="Verdana"/>
          <w:sz w:val="24"/>
          <w:szCs w:val="24"/>
        </w:rPr>
      </w:pPr>
    </w:p>
    <w:p w:rsidR="006105F6" w:rsidRDefault="006105F6" w:rsidP="00443473">
      <w:pPr>
        <w:rPr>
          <w:rFonts w:ascii="Verdana" w:hAnsi="Verdana"/>
          <w:sz w:val="24"/>
          <w:szCs w:val="24"/>
        </w:rPr>
      </w:pPr>
      <w:r>
        <w:rPr>
          <w:rFonts w:ascii="Verdana" w:hAnsi="Verdana"/>
          <w:sz w:val="24"/>
          <w:szCs w:val="24"/>
        </w:rPr>
        <w:t xml:space="preserve">Still convinced we are giving away grades?  How about this?  Facebook’s financial statements and notes are not tainted by many of the accounting and reporting issues found in most IPOs.  For example, </w:t>
      </w:r>
      <w:r w:rsidR="00C223F8">
        <w:rPr>
          <w:rFonts w:ascii="Verdana" w:hAnsi="Verdana"/>
          <w:sz w:val="24"/>
          <w:szCs w:val="24"/>
        </w:rPr>
        <w:t xml:space="preserve">the Company reports no “special items,” </w:t>
      </w:r>
      <w:r>
        <w:rPr>
          <w:rFonts w:ascii="Verdana" w:hAnsi="Verdana"/>
          <w:sz w:val="24"/>
          <w:szCs w:val="24"/>
        </w:rPr>
        <w:t>or off-bala</w:t>
      </w:r>
      <w:r w:rsidR="00C223F8">
        <w:rPr>
          <w:rFonts w:ascii="Verdana" w:hAnsi="Verdana"/>
          <w:sz w:val="24"/>
          <w:szCs w:val="24"/>
        </w:rPr>
        <w:t>nce sheet transactions, nor is its balance sheet burdened by uncertainties associated with receivable collections, intangible impairments, deferred tax asset valuations, or warranty accruals.</w:t>
      </w:r>
    </w:p>
    <w:p w:rsidR="008755DA" w:rsidRDefault="008755DA" w:rsidP="00443473">
      <w:pPr>
        <w:rPr>
          <w:rFonts w:ascii="Verdana" w:hAnsi="Verdana"/>
          <w:sz w:val="24"/>
          <w:szCs w:val="24"/>
        </w:rPr>
      </w:pPr>
    </w:p>
    <w:p w:rsidR="001D3852" w:rsidRDefault="00B7668E" w:rsidP="00443473">
      <w:pPr>
        <w:rPr>
          <w:rFonts w:ascii="Verdana" w:hAnsi="Verdana"/>
          <w:sz w:val="24"/>
          <w:szCs w:val="24"/>
        </w:rPr>
      </w:pPr>
      <w:r>
        <w:rPr>
          <w:rFonts w:ascii="Verdana" w:hAnsi="Verdana"/>
          <w:sz w:val="24"/>
          <w:szCs w:val="24"/>
        </w:rPr>
        <w:t xml:space="preserve">Now, </w:t>
      </w:r>
      <w:proofErr w:type="spellStart"/>
      <w:r>
        <w:rPr>
          <w:rFonts w:ascii="Verdana" w:hAnsi="Verdana"/>
          <w:sz w:val="24"/>
          <w:szCs w:val="24"/>
        </w:rPr>
        <w:t>Facebook’s</w:t>
      </w:r>
      <w:proofErr w:type="spellEnd"/>
      <w:r>
        <w:rPr>
          <w:rFonts w:ascii="Verdana" w:hAnsi="Verdana"/>
          <w:sz w:val="24"/>
          <w:szCs w:val="24"/>
        </w:rPr>
        <w:t xml:space="preserve"> “A” in financial reporting does not necessarily mean that everything is perfect.  In fact, there are several questions that potential investors may want to monitor going forward, but again, the Company’s disclosures more than adequately address these issues.  As with most IPOs, Facebook intends to use a significant amount of </w:t>
      </w:r>
      <w:r w:rsidR="00B87A77">
        <w:rPr>
          <w:rFonts w:ascii="Verdana" w:hAnsi="Verdana"/>
          <w:sz w:val="24"/>
          <w:szCs w:val="24"/>
        </w:rPr>
        <w:t xml:space="preserve">its IPO proceeds to enrich its founders and original investors.  And not surprisingly, the Company’s founder and chief executive officer will retain control over the majority of voting stock, and thus decision-making.  What is somewhat surprising is that </w:t>
      </w:r>
      <w:r w:rsidR="00B87A77">
        <w:rPr>
          <w:rFonts w:ascii="Verdana" w:hAnsi="Verdana"/>
          <w:sz w:val="24"/>
          <w:szCs w:val="24"/>
        </w:rPr>
        <w:lastRenderedPageBreak/>
        <w:t xml:space="preserve">Facebook decided to avail itself of the “controlled company” exemption to the NASDAQ’s corporate governance regulations.  Specifically, </w:t>
      </w:r>
      <w:r w:rsidR="000C34E2">
        <w:rPr>
          <w:rFonts w:ascii="Verdana" w:hAnsi="Verdana"/>
          <w:sz w:val="24"/>
          <w:szCs w:val="24"/>
        </w:rPr>
        <w:t xml:space="preserve">on page 31 of its S1, </w:t>
      </w:r>
      <w:r w:rsidR="00B87A77">
        <w:rPr>
          <w:rFonts w:ascii="Verdana" w:hAnsi="Verdana"/>
          <w:sz w:val="24"/>
          <w:szCs w:val="24"/>
        </w:rPr>
        <w:t>the Company indicates:</w:t>
      </w:r>
    </w:p>
    <w:p w:rsidR="00B87A77" w:rsidRDefault="00B87A77" w:rsidP="00443473">
      <w:pPr>
        <w:rPr>
          <w:rFonts w:ascii="Verdana" w:hAnsi="Verdana"/>
          <w:sz w:val="24"/>
          <w:szCs w:val="24"/>
        </w:rPr>
      </w:pPr>
    </w:p>
    <w:p w:rsidR="00B87A77" w:rsidRPr="00B87A77" w:rsidRDefault="00B87A77" w:rsidP="00443473">
      <w:pPr>
        <w:ind w:left="720" w:right="720"/>
        <w:rPr>
          <w:rFonts w:ascii="Verdana" w:hAnsi="Verdana"/>
          <w:i/>
          <w:sz w:val="24"/>
          <w:szCs w:val="24"/>
        </w:rPr>
      </w:pPr>
      <w:r>
        <w:rPr>
          <w:rFonts w:ascii="Verdana" w:hAnsi="Verdana"/>
          <w:i/>
          <w:sz w:val="24"/>
          <w:szCs w:val="24"/>
        </w:rPr>
        <w:t>Because we qualify as a “controlled company” under the corporate governance rules for publicly-listed companies, we are not required to have a majority of our board of directo</w:t>
      </w:r>
      <w:r w:rsidR="000C34E2">
        <w:rPr>
          <w:rFonts w:ascii="Verdana" w:hAnsi="Verdana"/>
          <w:i/>
          <w:sz w:val="24"/>
          <w:szCs w:val="24"/>
        </w:rPr>
        <w:t>rs be independent nor are we</w:t>
      </w:r>
      <w:r>
        <w:rPr>
          <w:rFonts w:ascii="Verdana" w:hAnsi="Verdana"/>
          <w:i/>
          <w:sz w:val="24"/>
          <w:szCs w:val="24"/>
        </w:rPr>
        <w:t xml:space="preserve"> required to have a compensation committee or an independent nominating function</w:t>
      </w:r>
      <w:r w:rsidR="000C34E2">
        <w:rPr>
          <w:rFonts w:ascii="Verdana" w:hAnsi="Verdana"/>
          <w:i/>
          <w:sz w:val="24"/>
          <w:szCs w:val="24"/>
        </w:rPr>
        <w:t>…our board of directors has determined not to have an independent nominating function and has chosen to have the full board of directors be directly responsible for nominating members of our board, and in the future we could elect not to have a majority of our board of directors be independent or not to have a compensation committee.</w:t>
      </w:r>
    </w:p>
    <w:p w:rsidR="001D3852" w:rsidRDefault="001D3852" w:rsidP="00443473">
      <w:pPr>
        <w:rPr>
          <w:rFonts w:ascii="Verdana" w:hAnsi="Verdana"/>
          <w:sz w:val="24"/>
          <w:szCs w:val="24"/>
        </w:rPr>
      </w:pPr>
    </w:p>
    <w:p w:rsidR="000C34E2" w:rsidRDefault="000C34E2" w:rsidP="00443473">
      <w:pPr>
        <w:rPr>
          <w:rFonts w:ascii="Verdana" w:hAnsi="Verdana"/>
          <w:sz w:val="24"/>
          <w:szCs w:val="24"/>
        </w:rPr>
      </w:pPr>
      <w:r>
        <w:rPr>
          <w:rFonts w:ascii="Verdana" w:hAnsi="Verdana"/>
          <w:sz w:val="24"/>
          <w:szCs w:val="24"/>
        </w:rPr>
        <w:t>We wonder why this exemption was necessary for Facebook.</w:t>
      </w:r>
    </w:p>
    <w:p w:rsidR="000C34E2" w:rsidRDefault="000C34E2" w:rsidP="00443473">
      <w:pPr>
        <w:rPr>
          <w:rFonts w:ascii="Verdana" w:hAnsi="Verdana"/>
          <w:sz w:val="24"/>
          <w:szCs w:val="24"/>
        </w:rPr>
      </w:pPr>
    </w:p>
    <w:p w:rsidR="000C34E2" w:rsidRDefault="000C34E2" w:rsidP="00443473">
      <w:pPr>
        <w:rPr>
          <w:rFonts w:ascii="Verdana" w:hAnsi="Verdana"/>
          <w:sz w:val="24"/>
          <w:szCs w:val="24"/>
        </w:rPr>
      </w:pPr>
      <w:r>
        <w:rPr>
          <w:rFonts w:ascii="Verdana" w:hAnsi="Verdana"/>
          <w:sz w:val="24"/>
          <w:szCs w:val="24"/>
        </w:rPr>
        <w:t>The level of stock-based compensat</w:t>
      </w:r>
      <w:r w:rsidR="00443473">
        <w:rPr>
          <w:rFonts w:ascii="Verdana" w:hAnsi="Verdana"/>
          <w:sz w:val="24"/>
          <w:szCs w:val="24"/>
        </w:rPr>
        <w:t>ion in 2011 also caught our eye, given that it rose almost eleven</w:t>
      </w:r>
      <w:r w:rsidR="00FF3037">
        <w:rPr>
          <w:rFonts w:ascii="Verdana" w:hAnsi="Verdana"/>
          <w:sz w:val="24"/>
          <w:szCs w:val="24"/>
        </w:rPr>
        <w:t>-</w:t>
      </w:r>
      <w:r w:rsidR="00443473">
        <w:rPr>
          <w:rFonts w:ascii="Verdana" w:hAnsi="Verdana"/>
          <w:sz w:val="24"/>
          <w:szCs w:val="24"/>
        </w:rPr>
        <w:t xml:space="preserve">fold from 2010 despite income before tax only increasing 68 percent during the same period.  Now, to Facebook’s credit, it </w:t>
      </w:r>
      <w:r w:rsidR="00215635">
        <w:rPr>
          <w:rFonts w:ascii="Verdana" w:hAnsi="Verdana"/>
          <w:sz w:val="24"/>
          <w:szCs w:val="24"/>
        </w:rPr>
        <w:t>does clearly highlight</w:t>
      </w:r>
      <w:r w:rsidR="00443473">
        <w:rPr>
          <w:rFonts w:ascii="Verdana" w:hAnsi="Verdana"/>
          <w:sz w:val="24"/>
          <w:szCs w:val="24"/>
        </w:rPr>
        <w:t xml:space="preserve"> share-based compensation expense on the face of its income statement (see F-4).  But any time the percentage of stock-based compensation (relative to pre stock-based compensation income) exceeds 10 percent, one must question whether management’</w:t>
      </w:r>
      <w:r w:rsidR="0054372E">
        <w:rPr>
          <w:rFonts w:ascii="Verdana" w:hAnsi="Verdana"/>
          <w:sz w:val="24"/>
          <w:szCs w:val="24"/>
        </w:rPr>
        <w:t>s compensation is excessive or not</w:t>
      </w:r>
      <w:r w:rsidR="00443473">
        <w:rPr>
          <w:rFonts w:ascii="Verdana" w:hAnsi="Verdana"/>
          <w:sz w:val="24"/>
          <w:szCs w:val="24"/>
        </w:rPr>
        <w:t>.</w:t>
      </w:r>
    </w:p>
    <w:p w:rsidR="00443473" w:rsidRDefault="00443473" w:rsidP="00443473">
      <w:pPr>
        <w:rPr>
          <w:rFonts w:ascii="Verdana" w:hAnsi="Verdana"/>
          <w:sz w:val="24"/>
          <w:szCs w:val="24"/>
        </w:rPr>
      </w:pPr>
    </w:p>
    <w:tbl>
      <w:tblPr>
        <w:tblW w:w="0" w:type="auto"/>
        <w:tblInd w:w="78" w:type="dxa"/>
        <w:tblLayout w:type="fixed"/>
        <w:tblLook w:val="0000"/>
      </w:tblPr>
      <w:tblGrid>
        <w:gridCol w:w="4183"/>
        <w:gridCol w:w="1018"/>
        <w:gridCol w:w="981"/>
        <w:gridCol w:w="982"/>
      </w:tblGrid>
      <w:tr w:rsidR="00443473" w:rsidRPr="00443473" w:rsidTr="00443473">
        <w:trPr>
          <w:trHeight w:val="247"/>
        </w:trPr>
        <w:tc>
          <w:tcPr>
            <w:tcW w:w="4183"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1018" w:type="dxa"/>
            <w:tcBorders>
              <w:top w:val="nil"/>
              <w:left w:val="nil"/>
              <w:bottom w:val="nil"/>
              <w:right w:val="nil"/>
            </w:tcBorders>
          </w:tcPr>
          <w:p w:rsidR="00443473" w:rsidRPr="00443473" w:rsidRDefault="00443473" w:rsidP="00443473">
            <w:pPr>
              <w:autoSpaceDE w:val="0"/>
              <w:autoSpaceDN w:val="0"/>
              <w:adjustRightInd w:val="0"/>
              <w:jc w:val="center"/>
              <w:rPr>
                <w:rFonts w:ascii="Arial" w:hAnsi="Arial" w:cs="Arial"/>
                <w:b/>
                <w:bCs/>
                <w:color w:val="000000"/>
                <w:sz w:val="20"/>
                <w:szCs w:val="20"/>
              </w:rPr>
            </w:pPr>
            <w:r w:rsidRPr="00443473">
              <w:rPr>
                <w:rFonts w:ascii="Arial" w:hAnsi="Arial" w:cs="Arial"/>
                <w:b/>
                <w:bCs/>
                <w:color w:val="000000"/>
                <w:sz w:val="20"/>
                <w:szCs w:val="20"/>
              </w:rPr>
              <w:t>2009</w:t>
            </w:r>
          </w:p>
        </w:tc>
        <w:tc>
          <w:tcPr>
            <w:tcW w:w="981" w:type="dxa"/>
            <w:tcBorders>
              <w:top w:val="nil"/>
              <w:left w:val="nil"/>
              <w:bottom w:val="nil"/>
              <w:right w:val="nil"/>
            </w:tcBorders>
          </w:tcPr>
          <w:p w:rsidR="00443473" w:rsidRPr="00443473" w:rsidRDefault="00443473" w:rsidP="00443473">
            <w:pPr>
              <w:autoSpaceDE w:val="0"/>
              <w:autoSpaceDN w:val="0"/>
              <w:adjustRightInd w:val="0"/>
              <w:jc w:val="center"/>
              <w:rPr>
                <w:rFonts w:ascii="Arial" w:hAnsi="Arial" w:cs="Arial"/>
                <w:b/>
                <w:bCs/>
                <w:color w:val="000000"/>
                <w:sz w:val="20"/>
                <w:szCs w:val="20"/>
              </w:rPr>
            </w:pPr>
            <w:r w:rsidRPr="00443473">
              <w:rPr>
                <w:rFonts w:ascii="Arial" w:hAnsi="Arial" w:cs="Arial"/>
                <w:b/>
                <w:bCs/>
                <w:color w:val="000000"/>
                <w:sz w:val="20"/>
                <w:szCs w:val="20"/>
              </w:rPr>
              <w:t>2010</w:t>
            </w:r>
          </w:p>
        </w:tc>
        <w:tc>
          <w:tcPr>
            <w:tcW w:w="982" w:type="dxa"/>
            <w:tcBorders>
              <w:top w:val="nil"/>
              <w:left w:val="nil"/>
              <w:bottom w:val="nil"/>
              <w:right w:val="nil"/>
            </w:tcBorders>
          </w:tcPr>
          <w:p w:rsidR="00443473" w:rsidRPr="00443473" w:rsidRDefault="00443473" w:rsidP="00443473">
            <w:pPr>
              <w:autoSpaceDE w:val="0"/>
              <w:autoSpaceDN w:val="0"/>
              <w:adjustRightInd w:val="0"/>
              <w:jc w:val="center"/>
              <w:rPr>
                <w:rFonts w:ascii="Arial" w:hAnsi="Arial" w:cs="Arial"/>
                <w:b/>
                <w:bCs/>
                <w:color w:val="000000"/>
                <w:sz w:val="20"/>
                <w:szCs w:val="20"/>
              </w:rPr>
            </w:pPr>
            <w:r w:rsidRPr="00443473">
              <w:rPr>
                <w:rFonts w:ascii="Arial" w:hAnsi="Arial" w:cs="Arial"/>
                <w:b/>
                <w:bCs/>
                <w:color w:val="000000"/>
                <w:sz w:val="20"/>
                <w:szCs w:val="20"/>
              </w:rPr>
              <w:t>2011</w:t>
            </w:r>
          </w:p>
        </w:tc>
      </w:tr>
      <w:tr w:rsidR="00443473" w:rsidRPr="00443473" w:rsidTr="00443473">
        <w:trPr>
          <w:trHeight w:val="247"/>
        </w:trPr>
        <w:tc>
          <w:tcPr>
            <w:tcW w:w="4183" w:type="dxa"/>
            <w:tcBorders>
              <w:top w:val="nil"/>
              <w:left w:val="nil"/>
              <w:bottom w:val="nil"/>
              <w:right w:val="nil"/>
            </w:tcBorders>
          </w:tcPr>
          <w:p w:rsidR="00443473" w:rsidRPr="00443473" w:rsidRDefault="00443473" w:rsidP="00443473">
            <w:pPr>
              <w:autoSpaceDE w:val="0"/>
              <w:autoSpaceDN w:val="0"/>
              <w:adjustRightInd w:val="0"/>
              <w:rPr>
                <w:rFonts w:ascii="Arial" w:hAnsi="Arial" w:cs="Arial"/>
                <w:color w:val="000000"/>
                <w:sz w:val="20"/>
                <w:szCs w:val="20"/>
              </w:rPr>
            </w:pPr>
            <w:r w:rsidRPr="00443473">
              <w:rPr>
                <w:rFonts w:ascii="Arial" w:hAnsi="Arial" w:cs="Arial"/>
                <w:color w:val="000000"/>
                <w:sz w:val="20"/>
                <w:szCs w:val="20"/>
              </w:rPr>
              <w:t>Income Before Tax</w:t>
            </w:r>
          </w:p>
        </w:tc>
        <w:tc>
          <w:tcPr>
            <w:tcW w:w="1018"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254</w:t>
            </w:r>
          </w:p>
        </w:tc>
        <w:tc>
          <w:tcPr>
            <w:tcW w:w="981"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1008</w:t>
            </w:r>
          </w:p>
        </w:tc>
        <w:tc>
          <w:tcPr>
            <w:tcW w:w="982"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1695</w:t>
            </w:r>
          </w:p>
        </w:tc>
      </w:tr>
      <w:tr w:rsidR="00443473" w:rsidRPr="00443473" w:rsidTr="00443473">
        <w:trPr>
          <w:trHeight w:val="247"/>
        </w:trPr>
        <w:tc>
          <w:tcPr>
            <w:tcW w:w="4183" w:type="dxa"/>
            <w:tcBorders>
              <w:top w:val="nil"/>
              <w:left w:val="nil"/>
              <w:bottom w:val="nil"/>
              <w:right w:val="nil"/>
            </w:tcBorders>
          </w:tcPr>
          <w:p w:rsidR="00443473" w:rsidRPr="00443473" w:rsidRDefault="00443473" w:rsidP="00443473">
            <w:pPr>
              <w:autoSpaceDE w:val="0"/>
              <w:autoSpaceDN w:val="0"/>
              <w:adjustRightInd w:val="0"/>
              <w:rPr>
                <w:rFonts w:ascii="Arial" w:hAnsi="Arial" w:cs="Arial"/>
                <w:color w:val="000000"/>
                <w:sz w:val="20"/>
                <w:szCs w:val="20"/>
              </w:rPr>
            </w:pPr>
            <w:r w:rsidRPr="00443473">
              <w:rPr>
                <w:rFonts w:ascii="Arial" w:hAnsi="Arial" w:cs="Arial"/>
                <w:color w:val="000000"/>
                <w:sz w:val="20"/>
                <w:szCs w:val="20"/>
              </w:rPr>
              <w:t>Add: Stock Compensation Expense</w:t>
            </w:r>
          </w:p>
        </w:tc>
        <w:tc>
          <w:tcPr>
            <w:tcW w:w="1018" w:type="dxa"/>
            <w:tcBorders>
              <w:top w:val="nil"/>
              <w:left w:val="nil"/>
              <w:bottom w:val="sing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27</w:t>
            </w:r>
          </w:p>
        </w:tc>
        <w:tc>
          <w:tcPr>
            <w:tcW w:w="981" w:type="dxa"/>
            <w:tcBorders>
              <w:top w:val="nil"/>
              <w:left w:val="nil"/>
              <w:bottom w:val="sing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20</w:t>
            </w:r>
          </w:p>
        </w:tc>
        <w:tc>
          <w:tcPr>
            <w:tcW w:w="982" w:type="dxa"/>
            <w:tcBorders>
              <w:top w:val="nil"/>
              <w:left w:val="nil"/>
              <w:bottom w:val="sing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217</w:t>
            </w:r>
          </w:p>
        </w:tc>
      </w:tr>
      <w:tr w:rsidR="00443473" w:rsidRPr="00443473" w:rsidTr="00443473">
        <w:trPr>
          <w:trHeight w:val="257"/>
        </w:trPr>
        <w:tc>
          <w:tcPr>
            <w:tcW w:w="4183" w:type="dxa"/>
            <w:tcBorders>
              <w:top w:val="nil"/>
              <w:left w:val="nil"/>
              <w:bottom w:val="nil"/>
              <w:right w:val="nil"/>
            </w:tcBorders>
          </w:tcPr>
          <w:p w:rsidR="00443473" w:rsidRPr="00443473" w:rsidRDefault="00443473" w:rsidP="00443473">
            <w:pPr>
              <w:autoSpaceDE w:val="0"/>
              <w:autoSpaceDN w:val="0"/>
              <w:adjustRightInd w:val="0"/>
              <w:rPr>
                <w:rFonts w:ascii="Arial" w:hAnsi="Arial" w:cs="Arial"/>
                <w:color w:val="000000"/>
                <w:sz w:val="20"/>
                <w:szCs w:val="20"/>
              </w:rPr>
            </w:pPr>
            <w:r w:rsidRPr="00443473">
              <w:rPr>
                <w:rFonts w:ascii="Arial" w:hAnsi="Arial" w:cs="Arial"/>
                <w:color w:val="000000"/>
                <w:sz w:val="20"/>
                <w:szCs w:val="20"/>
              </w:rPr>
              <w:t>Income Before Tax and Stock Compensation</w:t>
            </w:r>
          </w:p>
        </w:tc>
        <w:tc>
          <w:tcPr>
            <w:tcW w:w="1018" w:type="dxa"/>
            <w:tcBorders>
              <w:top w:val="single" w:sz="6" w:space="0" w:color="auto"/>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281</w:t>
            </w:r>
          </w:p>
        </w:tc>
        <w:tc>
          <w:tcPr>
            <w:tcW w:w="981" w:type="dxa"/>
            <w:tcBorders>
              <w:top w:val="single" w:sz="6" w:space="0" w:color="auto"/>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1028</w:t>
            </w:r>
          </w:p>
        </w:tc>
        <w:tc>
          <w:tcPr>
            <w:tcW w:w="982" w:type="dxa"/>
            <w:tcBorders>
              <w:top w:val="single" w:sz="6" w:space="0" w:color="auto"/>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1912</w:t>
            </w:r>
          </w:p>
        </w:tc>
      </w:tr>
      <w:tr w:rsidR="00443473" w:rsidRPr="00443473" w:rsidTr="00443473">
        <w:trPr>
          <w:trHeight w:val="257"/>
        </w:trPr>
        <w:tc>
          <w:tcPr>
            <w:tcW w:w="4183"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1018"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981"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r>
      <w:tr w:rsidR="00443473" w:rsidRPr="00443473" w:rsidTr="00443473">
        <w:trPr>
          <w:trHeight w:val="257"/>
        </w:trPr>
        <w:tc>
          <w:tcPr>
            <w:tcW w:w="4183" w:type="dxa"/>
            <w:tcBorders>
              <w:top w:val="nil"/>
              <w:left w:val="nil"/>
              <w:bottom w:val="nil"/>
              <w:right w:val="nil"/>
            </w:tcBorders>
          </w:tcPr>
          <w:p w:rsidR="00443473" w:rsidRPr="00443473" w:rsidRDefault="00443473" w:rsidP="00443473">
            <w:pPr>
              <w:autoSpaceDE w:val="0"/>
              <w:autoSpaceDN w:val="0"/>
              <w:adjustRightInd w:val="0"/>
              <w:rPr>
                <w:rFonts w:ascii="Arial" w:hAnsi="Arial" w:cs="Arial"/>
                <w:color w:val="000000"/>
                <w:sz w:val="20"/>
                <w:szCs w:val="20"/>
              </w:rPr>
            </w:pPr>
            <w:r w:rsidRPr="00443473">
              <w:rPr>
                <w:rFonts w:ascii="Arial" w:hAnsi="Arial" w:cs="Arial"/>
                <w:color w:val="000000"/>
                <w:sz w:val="20"/>
                <w:szCs w:val="20"/>
              </w:rPr>
              <w:t>% of Stock-Based Compensation</w:t>
            </w:r>
          </w:p>
        </w:tc>
        <w:tc>
          <w:tcPr>
            <w:tcW w:w="1018" w:type="dxa"/>
            <w:tcBorders>
              <w:top w:val="nil"/>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9.61%</w:t>
            </w:r>
          </w:p>
        </w:tc>
        <w:tc>
          <w:tcPr>
            <w:tcW w:w="981" w:type="dxa"/>
            <w:tcBorders>
              <w:top w:val="nil"/>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1.95%</w:t>
            </w:r>
          </w:p>
        </w:tc>
        <w:tc>
          <w:tcPr>
            <w:tcW w:w="982" w:type="dxa"/>
            <w:tcBorders>
              <w:top w:val="nil"/>
              <w:left w:val="nil"/>
              <w:bottom w:val="double" w:sz="6" w:space="0" w:color="auto"/>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r w:rsidRPr="00443473">
              <w:rPr>
                <w:rFonts w:ascii="Arial" w:hAnsi="Arial" w:cs="Arial"/>
                <w:color w:val="000000"/>
                <w:sz w:val="20"/>
                <w:szCs w:val="20"/>
              </w:rPr>
              <w:t>11.35%</w:t>
            </w:r>
          </w:p>
        </w:tc>
      </w:tr>
      <w:tr w:rsidR="00443473" w:rsidRPr="00443473" w:rsidTr="00443473">
        <w:trPr>
          <w:trHeight w:val="257"/>
        </w:trPr>
        <w:tc>
          <w:tcPr>
            <w:tcW w:w="4183"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1018"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981"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c>
          <w:tcPr>
            <w:tcW w:w="982" w:type="dxa"/>
            <w:tcBorders>
              <w:top w:val="nil"/>
              <w:left w:val="nil"/>
              <w:bottom w:val="nil"/>
              <w:right w:val="nil"/>
            </w:tcBorders>
          </w:tcPr>
          <w:p w:rsidR="00443473" w:rsidRPr="00443473" w:rsidRDefault="00443473" w:rsidP="00443473">
            <w:pPr>
              <w:autoSpaceDE w:val="0"/>
              <w:autoSpaceDN w:val="0"/>
              <w:adjustRightInd w:val="0"/>
              <w:jc w:val="right"/>
              <w:rPr>
                <w:rFonts w:ascii="Arial" w:hAnsi="Arial" w:cs="Arial"/>
                <w:color w:val="000000"/>
                <w:sz w:val="20"/>
                <w:szCs w:val="20"/>
              </w:rPr>
            </w:pPr>
          </w:p>
        </w:tc>
      </w:tr>
    </w:tbl>
    <w:p w:rsidR="00443473" w:rsidRDefault="00215635" w:rsidP="00443473">
      <w:pPr>
        <w:rPr>
          <w:rFonts w:ascii="Verdana" w:hAnsi="Verdana"/>
          <w:sz w:val="24"/>
          <w:szCs w:val="24"/>
        </w:rPr>
      </w:pPr>
      <w:r>
        <w:rPr>
          <w:rFonts w:ascii="Verdana" w:hAnsi="Verdana"/>
          <w:sz w:val="24"/>
          <w:szCs w:val="24"/>
        </w:rPr>
        <w:t>Finally, there are the usual IPO concerns about possible financial report manipulation associated with performance pressures (</w:t>
      </w:r>
      <w:r w:rsidR="00D97B62">
        <w:rPr>
          <w:rFonts w:ascii="Verdana" w:hAnsi="Verdana"/>
          <w:sz w:val="24"/>
          <w:szCs w:val="24"/>
        </w:rPr>
        <w:t>i.e.</w:t>
      </w:r>
      <w:r>
        <w:rPr>
          <w:rFonts w:ascii="Verdana" w:hAnsi="Verdana"/>
          <w:sz w:val="24"/>
          <w:szCs w:val="24"/>
        </w:rPr>
        <w:t xml:space="preserve">, growth), management control issues (i.e., CEO founder and related party transactions), and industry and market structures (i.e., competition in a new industry).  In fact, the </w:t>
      </w:r>
      <w:hyperlink r:id="rId8" w:anchor="axzz1lRW1nMQb" w:history="1">
        <w:r w:rsidRPr="00FF35B4">
          <w:rPr>
            <w:rStyle w:val="Hyperlink"/>
            <w:rFonts w:ascii="Verdana" w:hAnsi="Verdana"/>
            <w:sz w:val="24"/>
            <w:szCs w:val="24"/>
          </w:rPr>
          <w:t>Beneish earnings manipulation model</w:t>
        </w:r>
      </w:hyperlink>
      <w:r>
        <w:rPr>
          <w:rFonts w:ascii="Verdana" w:hAnsi="Verdana"/>
          <w:sz w:val="24"/>
          <w:szCs w:val="24"/>
        </w:rPr>
        <w:t xml:space="preserve"> show</w:t>
      </w:r>
      <w:r w:rsidR="00FF3037">
        <w:rPr>
          <w:rFonts w:ascii="Verdana" w:hAnsi="Verdana"/>
          <w:sz w:val="24"/>
          <w:szCs w:val="24"/>
        </w:rPr>
        <w:t>s only</w:t>
      </w:r>
      <w:r>
        <w:rPr>
          <w:rFonts w:ascii="Verdana" w:hAnsi="Verdana"/>
          <w:sz w:val="24"/>
          <w:szCs w:val="24"/>
        </w:rPr>
        <w:t xml:space="preserve"> a </w:t>
      </w:r>
      <w:r w:rsidR="00FF3037">
        <w:rPr>
          <w:rFonts w:ascii="Verdana" w:hAnsi="Verdana"/>
          <w:sz w:val="24"/>
          <w:szCs w:val="24"/>
        </w:rPr>
        <w:t>small</w:t>
      </w:r>
      <w:r>
        <w:rPr>
          <w:rFonts w:ascii="Verdana" w:hAnsi="Verdana"/>
          <w:sz w:val="24"/>
          <w:szCs w:val="24"/>
        </w:rPr>
        <w:t xml:space="preserve"> probability of manipulation (3.16%) driven primarily by Facebook’s rapid sales growth over the past three years.  Nevertheless, the Company’s financial statements do an excellent job calling attention to most all of these risks.</w:t>
      </w:r>
    </w:p>
    <w:p w:rsidR="006F294F" w:rsidRDefault="006F294F" w:rsidP="00443473">
      <w:pPr>
        <w:rPr>
          <w:rFonts w:ascii="Verdana" w:hAnsi="Verdana"/>
          <w:sz w:val="24"/>
          <w:szCs w:val="24"/>
        </w:rPr>
      </w:pPr>
    </w:p>
    <w:p w:rsidR="00215635" w:rsidRDefault="00215635" w:rsidP="00443473">
      <w:pPr>
        <w:rPr>
          <w:rFonts w:ascii="Verdana" w:hAnsi="Verdana"/>
          <w:sz w:val="24"/>
          <w:szCs w:val="24"/>
        </w:rPr>
      </w:pPr>
    </w:p>
    <w:tbl>
      <w:tblPr>
        <w:tblW w:w="0" w:type="auto"/>
        <w:tblInd w:w="78" w:type="dxa"/>
        <w:tblLayout w:type="fixed"/>
        <w:tblLook w:val="0000"/>
      </w:tblPr>
      <w:tblGrid>
        <w:gridCol w:w="2196"/>
        <w:gridCol w:w="773"/>
        <w:gridCol w:w="773"/>
        <w:gridCol w:w="772"/>
        <w:gridCol w:w="418"/>
        <w:gridCol w:w="2784"/>
        <w:gridCol w:w="994"/>
      </w:tblGrid>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r w:rsidRPr="008E6760">
              <w:rPr>
                <w:rFonts w:ascii="Arial" w:hAnsi="Arial" w:cs="Arial"/>
                <w:b/>
                <w:bCs/>
                <w:color w:val="000000"/>
                <w:sz w:val="20"/>
                <w:szCs w:val="20"/>
              </w:rPr>
              <w:t>2008</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r w:rsidRPr="008E6760">
              <w:rPr>
                <w:rFonts w:ascii="Arial" w:hAnsi="Arial" w:cs="Arial"/>
                <w:b/>
                <w:bCs/>
                <w:color w:val="000000"/>
                <w:sz w:val="20"/>
                <w:szCs w:val="20"/>
              </w:rPr>
              <w:t>2009</w:t>
            </w:r>
          </w:p>
        </w:tc>
        <w:tc>
          <w:tcPr>
            <w:tcW w:w="772"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r w:rsidRPr="008E6760">
              <w:rPr>
                <w:rFonts w:ascii="Arial" w:hAnsi="Arial" w:cs="Arial"/>
                <w:b/>
                <w:bCs/>
                <w:color w:val="000000"/>
                <w:sz w:val="20"/>
                <w:szCs w:val="20"/>
              </w:rPr>
              <w:t>2010</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Weighted Predictor Ratios</w:t>
            </w:r>
          </w:p>
        </w:tc>
        <w:tc>
          <w:tcPr>
            <w:tcW w:w="994"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r w:rsidRPr="008E6760">
              <w:rPr>
                <w:rFonts w:ascii="Arial" w:hAnsi="Arial" w:cs="Arial"/>
                <w:b/>
                <w:bCs/>
                <w:color w:val="000000"/>
                <w:sz w:val="20"/>
                <w:szCs w:val="20"/>
              </w:rPr>
              <w:t>2010</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p>
        </w:tc>
        <w:tc>
          <w:tcPr>
            <w:tcW w:w="772"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994"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b/>
                <w:bCs/>
                <w:color w:val="000000"/>
                <w:sz w:val="20"/>
                <w:szCs w:val="20"/>
              </w:rPr>
            </w:pP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Accounts Receivable</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373</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547</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Days Receivables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0.7177</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Current Assets</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2,246</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4,604</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Gross Margin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0.5156</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Prop. Plant &amp; Eq-Net</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574</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1,475</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Asset Quality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0.2828</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Total Assets</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2,990</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6,331</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Sales Growth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1.6769</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Current Liabilities</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389</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899</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Depreciation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0.1246</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Long-term Debt</w:t>
            </w:r>
          </w:p>
        </w:tc>
        <w:tc>
          <w:tcPr>
            <w:tcW w:w="773" w:type="dxa"/>
            <w:tcBorders>
              <w:top w:val="nil"/>
              <w:left w:val="nil"/>
              <w:bottom w:val="nil"/>
              <w:right w:val="nil"/>
            </w:tcBorders>
          </w:tcPr>
          <w:p w:rsidR="008E6760" w:rsidRPr="008E6760" w:rsidRDefault="008E6760" w:rsidP="008E6760">
            <w:pPr>
              <w:autoSpaceDE w:val="0"/>
              <w:autoSpaceDN w:val="0"/>
              <w:adjustRightInd w:val="0"/>
              <w:jc w:val="center"/>
              <w:rPr>
                <w:rFonts w:ascii="Arial" w:hAnsi="Arial" w:cs="Arial"/>
                <w:color w:val="000000"/>
                <w:sz w:val="20"/>
                <w:szCs w:val="20"/>
              </w:rPr>
            </w:pPr>
            <w:r w:rsidRPr="008E6760">
              <w:rPr>
                <w:rFonts w:ascii="Arial" w:hAnsi="Arial" w:cs="Arial"/>
                <w:color w:val="000000"/>
                <w:sz w:val="20"/>
                <w:szCs w:val="20"/>
              </w:rPr>
              <w:t>N/A</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367</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398</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Sell. &amp; Admin. Exp.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-0.2231</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Sales</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777</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1,974</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3,711</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Leverage Index</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-0.2650</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Cost of Goods Sold</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223</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493</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860</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Total Accruals/Total Assets</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0.1530</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Selling &amp; Admin. Exp.</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292</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449</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1,095</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Constant</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-4.8400</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Operating income</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262</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1,032</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1,756</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Value of y</w:t>
            </w: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-1.8574</w:t>
            </w:r>
          </w:p>
        </w:tc>
      </w:tr>
      <w:tr w:rsidR="008E6760" w:rsidRPr="008E6760" w:rsidTr="008E6760">
        <w:trPr>
          <w:trHeight w:val="24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Cash Flow from Oper.</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155</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698</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1,549</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r>
      <w:tr w:rsidR="008E6760" w:rsidRPr="008E6760" w:rsidTr="008E6760">
        <w:trPr>
          <w:trHeight w:val="257"/>
        </w:trPr>
        <w:tc>
          <w:tcPr>
            <w:tcW w:w="2196"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color w:val="000000"/>
                <w:sz w:val="20"/>
                <w:szCs w:val="20"/>
              </w:rPr>
            </w:pPr>
            <w:r w:rsidRPr="008E6760">
              <w:rPr>
                <w:rFonts w:ascii="Arial" w:hAnsi="Arial" w:cs="Arial"/>
                <w:color w:val="000000"/>
                <w:sz w:val="20"/>
                <w:szCs w:val="20"/>
              </w:rPr>
              <w:t>Depreciation</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76</w:t>
            </w: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130</w:t>
            </w: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r w:rsidRPr="008E6760">
              <w:rPr>
                <w:rFonts w:ascii="Arial" w:hAnsi="Arial" w:cs="Arial"/>
                <w:color w:val="000000"/>
                <w:sz w:val="20"/>
                <w:szCs w:val="20"/>
              </w:rPr>
              <w:t>303</w:t>
            </w: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rPr>
                <w:rFonts w:ascii="Arial" w:hAnsi="Arial" w:cs="Arial"/>
                <w:b/>
                <w:bCs/>
                <w:i/>
                <w:iCs/>
                <w:color w:val="000000"/>
                <w:sz w:val="20"/>
                <w:szCs w:val="20"/>
              </w:rPr>
            </w:pPr>
            <w:r w:rsidRPr="008E6760">
              <w:rPr>
                <w:rFonts w:ascii="Arial" w:hAnsi="Arial" w:cs="Arial"/>
                <w:b/>
                <w:bCs/>
                <w:i/>
                <w:iCs/>
                <w:color w:val="000000"/>
                <w:sz w:val="20"/>
                <w:szCs w:val="20"/>
              </w:rPr>
              <w:t>Probability of Manipulat</w:t>
            </w:r>
            <w:r>
              <w:rPr>
                <w:rFonts w:ascii="Arial" w:hAnsi="Arial" w:cs="Arial"/>
                <w:b/>
                <w:bCs/>
                <w:i/>
                <w:iCs/>
                <w:color w:val="000000"/>
                <w:sz w:val="20"/>
                <w:szCs w:val="20"/>
              </w:rPr>
              <w:t>i</w:t>
            </w:r>
            <w:r w:rsidRPr="008E6760">
              <w:rPr>
                <w:rFonts w:ascii="Arial" w:hAnsi="Arial" w:cs="Arial"/>
                <w:b/>
                <w:bCs/>
                <w:i/>
                <w:iCs/>
                <w:color w:val="000000"/>
                <w:sz w:val="20"/>
                <w:szCs w:val="20"/>
              </w:rPr>
              <w:t>on</w:t>
            </w:r>
          </w:p>
        </w:tc>
        <w:tc>
          <w:tcPr>
            <w:tcW w:w="994" w:type="dxa"/>
            <w:tcBorders>
              <w:top w:val="nil"/>
              <w:left w:val="nil"/>
              <w:bottom w:val="double" w:sz="6" w:space="0" w:color="auto"/>
              <w:right w:val="nil"/>
            </w:tcBorders>
          </w:tcPr>
          <w:p w:rsidR="008E6760" w:rsidRPr="008E6760" w:rsidRDefault="008E6760" w:rsidP="008E6760">
            <w:pPr>
              <w:autoSpaceDE w:val="0"/>
              <w:autoSpaceDN w:val="0"/>
              <w:adjustRightInd w:val="0"/>
              <w:jc w:val="right"/>
              <w:rPr>
                <w:rFonts w:ascii="Arial" w:hAnsi="Arial" w:cs="Arial"/>
                <w:b/>
                <w:bCs/>
                <w:i/>
                <w:iCs/>
                <w:color w:val="000000"/>
                <w:sz w:val="20"/>
                <w:szCs w:val="20"/>
              </w:rPr>
            </w:pPr>
            <w:r w:rsidRPr="008E6760">
              <w:rPr>
                <w:rFonts w:ascii="Arial" w:hAnsi="Arial" w:cs="Arial"/>
                <w:b/>
                <w:bCs/>
                <w:i/>
                <w:iCs/>
                <w:color w:val="000000"/>
                <w:sz w:val="20"/>
                <w:szCs w:val="20"/>
              </w:rPr>
              <w:t>3.16%</w:t>
            </w:r>
          </w:p>
        </w:tc>
      </w:tr>
      <w:tr w:rsidR="008E6760" w:rsidRPr="008E6760" w:rsidTr="008E6760">
        <w:trPr>
          <w:trHeight w:val="257"/>
        </w:trPr>
        <w:tc>
          <w:tcPr>
            <w:tcW w:w="2196"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773"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772"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418"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278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c>
          <w:tcPr>
            <w:tcW w:w="994" w:type="dxa"/>
            <w:tcBorders>
              <w:top w:val="nil"/>
              <w:left w:val="nil"/>
              <w:bottom w:val="nil"/>
              <w:right w:val="nil"/>
            </w:tcBorders>
          </w:tcPr>
          <w:p w:rsidR="008E6760" w:rsidRPr="008E6760" w:rsidRDefault="008E6760" w:rsidP="008E6760">
            <w:pPr>
              <w:autoSpaceDE w:val="0"/>
              <w:autoSpaceDN w:val="0"/>
              <w:adjustRightInd w:val="0"/>
              <w:jc w:val="right"/>
              <w:rPr>
                <w:rFonts w:ascii="Arial" w:hAnsi="Arial" w:cs="Arial"/>
                <w:color w:val="000000"/>
                <w:sz w:val="20"/>
                <w:szCs w:val="20"/>
              </w:rPr>
            </w:pPr>
          </w:p>
        </w:tc>
      </w:tr>
    </w:tbl>
    <w:p w:rsidR="00215635" w:rsidRDefault="00215635" w:rsidP="00443473">
      <w:pPr>
        <w:rPr>
          <w:rFonts w:ascii="Verdana" w:hAnsi="Verdana"/>
          <w:sz w:val="24"/>
          <w:szCs w:val="24"/>
        </w:rPr>
      </w:pPr>
    </w:p>
    <w:p w:rsidR="006F294F" w:rsidRDefault="006F294F" w:rsidP="00443473">
      <w:pPr>
        <w:rPr>
          <w:rFonts w:ascii="Verdana" w:hAnsi="Verdana"/>
          <w:sz w:val="24"/>
          <w:szCs w:val="24"/>
        </w:rPr>
      </w:pPr>
      <w:r>
        <w:rPr>
          <w:rFonts w:ascii="Verdana" w:hAnsi="Verdana"/>
          <w:sz w:val="24"/>
          <w:szCs w:val="24"/>
        </w:rPr>
        <w:t>So, the good news about Facebook’s “A” for investors is that they can focus their attention almost exclusively on what the Company’s growth prospects are.  They don’t have to worry about the reliability of reported financial statement amounts.  Facebook is clearly well managed, it has a believable business model that is creating real cash flow, and the numbers make sense.  The only question remaining is what cash flows this global social communication juggernaut will create in the future, and how these should be valued.</w:t>
      </w:r>
    </w:p>
    <w:p w:rsidR="00215635" w:rsidRDefault="00215635" w:rsidP="006F294F">
      <w:pPr>
        <w:rPr>
          <w:rFonts w:ascii="Verdana" w:hAnsi="Verdana"/>
          <w:sz w:val="24"/>
          <w:szCs w:val="24"/>
        </w:rPr>
      </w:pPr>
    </w:p>
    <w:p w:rsidR="00436A46" w:rsidRDefault="00436A46" w:rsidP="005679C2">
      <w:pPr>
        <w:pBdr>
          <w:bottom w:val="thinThickThinMediumGap" w:sz="18" w:space="0" w:color="auto"/>
        </w:pBdr>
        <w:rPr>
          <w:rFonts w:ascii="Verdana" w:hAnsi="Verdana"/>
          <w:sz w:val="24"/>
          <w:szCs w:val="24"/>
        </w:rPr>
      </w:pPr>
    </w:p>
    <w:p w:rsidR="00436A46" w:rsidRPr="00EE3621" w:rsidRDefault="00436A46"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32D82"/>
    <w:rsid w:val="000334D4"/>
    <w:rsid w:val="000374C2"/>
    <w:rsid w:val="00052C5C"/>
    <w:rsid w:val="00070A9F"/>
    <w:rsid w:val="00076C05"/>
    <w:rsid w:val="00081916"/>
    <w:rsid w:val="0008318E"/>
    <w:rsid w:val="0008518C"/>
    <w:rsid w:val="00093316"/>
    <w:rsid w:val="000A52AA"/>
    <w:rsid w:val="000A68B5"/>
    <w:rsid w:val="000B0974"/>
    <w:rsid w:val="000B4954"/>
    <w:rsid w:val="000C0DAE"/>
    <w:rsid w:val="000C34E2"/>
    <w:rsid w:val="000E2E4F"/>
    <w:rsid w:val="001136CA"/>
    <w:rsid w:val="00144230"/>
    <w:rsid w:val="00162F11"/>
    <w:rsid w:val="00166500"/>
    <w:rsid w:val="001823C4"/>
    <w:rsid w:val="001978FB"/>
    <w:rsid w:val="001A15C8"/>
    <w:rsid w:val="001A35D6"/>
    <w:rsid w:val="001A50C1"/>
    <w:rsid w:val="001A523B"/>
    <w:rsid w:val="001A5685"/>
    <w:rsid w:val="001A63DD"/>
    <w:rsid w:val="001B2AE8"/>
    <w:rsid w:val="001B3448"/>
    <w:rsid w:val="001C3948"/>
    <w:rsid w:val="001C529F"/>
    <w:rsid w:val="001C5C9F"/>
    <w:rsid w:val="001C76A3"/>
    <w:rsid w:val="001C7FFA"/>
    <w:rsid w:val="001D3852"/>
    <w:rsid w:val="0020134E"/>
    <w:rsid w:val="0020293D"/>
    <w:rsid w:val="002134E1"/>
    <w:rsid w:val="00215635"/>
    <w:rsid w:val="00215FD8"/>
    <w:rsid w:val="002254DA"/>
    <w:rsid w:val="0025274D"/>
    <w:rsid w:val="00285D9E"/>
    <w:rsid w:val="002921E3"/>
    <w:rsid w:val="002A35CE"/>
    <w:rsid w:val="002B0A9D"/>
    <w:rsid w:val="002B29A5"/>
    <w:rsid w:val="002C4F22"/>
    <w:rsid w:val="00307529"/>
    <w:rsid w:val="0031191B"/>
    <w:rsid w:val="00315910"/>
    <w:rsid w:val="00316C9F"/>
    <w:rsid w:val="003259CE"/>
    <w:rsid w:val="00327520"/>
    <w:rsid w:val="00332C06"/>
    <w:rsid w:val="003441F1"/>
    <w:rsid w:val="003614EA"/>
    <w:rsid w:val="00362D5A"/>
    <w:rsid w:val="00383ECD"/>
    <w:rsid w:val="00387AD3"/>
    <w:rsid w:val="0039366C"/>
    <w:rsid w:val="00394F33"/>
    <w:rsid w:val="003A627B"/>
    <w:rsid w:val="003B5481"/>
    <w:rsid w:val="003B73F8"/>
    <w:rsid w:val="003C2F39"/>
    <w:rsid w:val="003C370E"/>
    <w:rsid w:val="003D0B7A"/>
    <w:rsid w:val="003D7633"/>
    <w:rsid w:val="003F6FEC"/>
    <w:rsid w:val="00407FE7"/>
    <w:rsid w:val="00436A46"/>
    <w:rsid w:val="004408A1"/>
    <w:rsid w:val="00441449"/>
    <w:rsid w:val="00443473"/>
    <w:rsid w:val="00443813"/>
    <w:rsid w:val="00445AEA"/>
    <w:rsid w:val="00452131"/>
    <w:rsid w:val="004534FA"/>
    <w:rsid w:val="004556BD"/>
    <w:rsid w:val="00460BD2"/>
    <w:rsid w:val="00465E6E"/>
    <w:rsid w:val="00471A13"/>
    <w:rsid w:val="00481529"/>
    <w:rsid w:val="004A0E99"/>
    <w:rsid w:val="004B03F1"/>
    <w:rsid w:val="004D0A85"/>
    <w:rsid w:val="004D6BFC"/>
    <w:rsid w:val="004E7B9C"/>
    <w:rsid w:val="004F0F33"/>
    <w:rsid w:val="0050716A"/>
    <w:rsid w:val="00512CAA"/>
    <w:rsid w:val="005174B2"/>
    <w:rsid w:val="00520260"/>
    <w:rsid w:val="00534915"/>
    <w:rsid w:val="0054372E"/>
    <w:rsid w:val="00547265"/>
    <w:rsid w:val="00566ACC"/>
    <w:rsid w:val="005679C2"/>
    <w:rsid w:val="00572989"/>
    <w:rsid w:val="005877D3"/>
    <w:rsid w:val="00591E9C"/>
    <w:rsid w:val="005A638B"/>
    <w:rsid w:val="005B3AFB"/>
    <w:rsid w:val="005B7BA1"/>
    <w:rsid w:val="005C5AA8"/>
    <w:rsid w:val="005C7FC3"/>
    <w:rsid w:val="005F0AB9"/>
    <w:rsid w:val="005F2D0B"/>
    <w:rsid w:val="0060277D"/>
    <w:rsid w:val="006105F6"/>
    <w:rsid w:val="00626CA8"/>
    <w:rsid w:val="00632BC7"/>
    <w:rsid w:val="0064571F"/>
    <w:rsid w:val="00654AEE"/>
    <w:rsid w:val="00671DE9"/>
    <w:rsid w:val="006832E0"/>
    <w:rsid w:val="006A2E31"/>
    <w:rsid w:val="006A7CF1"/>
    <w:rsid w:val="006B5167"/>
    <w:rsid w:val="006F294F"/>
    <w:rsid w:val="006F298B"/>
    <w:rsid w:val="006F5958"/>
    <w:rsid w:val="00701811"/>
    <w:rsid w:val="007069CC"/>
    <w:rsid w:val="00720695"/>
    <w:rsid w:val="007310E9"/>
    <w:rsid w:val="00741CC4"/>
    <w:rsid w:val="00753045"/>
    <w:rsid w:val="0075714F"/>
    <w:rsid w:val="00762F72"/>
    <w:rsid w:val="007710FD"/>
    <w:rsid w:val="00781A91"/>
    <w:rsid w:val="007935E9"/>
    <w:rsid w:val="00795EDC"/>
    <w:rsid w:val="00796922"/>
    <w:rsid w:val="007A54C7"/>
    <w:rsid w:val="007C2521"/>
    <w:rsid w:val="007D30EB"/>
    <w:rsid w:val="007D7854"/>
    <w:rsid w:val="007E274D"/>
    <w:rsid w:val="007E4E7D"/>
    <w:rsid w:val="00825D4D"/>
    <w:rsid w:val="008265E1"/>
    <w:rsid w:val="00830A0B"/>
    <w:rsid w:val="00834103"/>
    <w:rsid w:val="00847F54"/>
    <w:rsid w:val="00874083"/>
    <w:rsid w:val="008755DA"/>
    <w:rsid w:val="0088295A"/>
    <w:rsid w:val="00885921"/>
    <w:rsid w:val="008B0206"/>
    <w:rsid w:val="008B5E1A"/>
    <w:rsid w:val="008C0345"/>
    <w:rsid w:val="008D2071"/>
    <w:rsid w:val="008D2295"/>
    <w:rsid w:val="008E6760"/>
    <w:rsid w:val="008E6D9D"/>
    <w:rsid w:val="00907BCA"/>
    <w:rsid w:val="0092773D"/>
    <w:rsid w:val="00937081"/>
    <w:rsid w:val="00945D76"/>
    <w:rsid w:val="00952126"/>
    <w:rsid w:val="009552D6"/>
    <w:rsid w:val="00961BDA"/>
    <w:rsid w:val="00974768"/>
    <w:rsid w:val="00975403"/>
    <w:rsid w:val="00994B50"/>
    <w:rsid w:val="009A0991"/>
    <w:rsid w:val="009A26FD"/>
    <w:rsid w:val="009A40B3"/>
    <w:rsid w:val="009A6D9B"/>
    <w:rsid w:val="009B6E4C"/>
    <w:rsid w:val="009D3CF4"/>
    <w:rsid w:val="009D772A"/>
    <w:rsid w:val="00A02E34"/>
    <w:rsid w:val="00A030B9"/>
    <w:rsid w:val="00A03ADF"/>
    <w:rsid w:val="00A11437"/>
    <w:rsid w:val="00A25608"/>
    <w:rsid w:val="00A2604A"/>
    <w:rsid w:val="00A501CA"/>
    <w:rsid w:val="00A56122"/>
    <w:rsid w:val="00A623DC"/>
    <w:rsid w:val="00A9710F"/>
    <w:rsid w:val="00AB5DEF"/>
    <w:rsid w:val="00AC081E"/>
    <w:rsid w:val="00AE44C0"/>
    <w:rsid w:val="00B20912"/>
    <w:rsid w:val="00B22B1B"/>
    <w:rsid w:val="00B7668E"/>
    <w:rsid w:val="00B7722F"/>
    <w:rsid w:val="00B8681F"/>
    <w:rsid w:val="00B87A77"/>
    <w:rsid w:val="00B91B36"/>
    <w:rsid w:val="00B91C46"/>
    <w:rsid w:val="00BB6235"/>
    <w:rsid w:val="00BC1134"/>
    <w:rsid w:val="00BC1DB8"/>
    <w:rsid w:val="00BC33AB"/>
    <w:rsid w:val="00BD1C30"/>
    <w:rsid w:val="00BD4859"/>
    <w:rsid w:val="00BF4BFB"/>
    <w:rsid w:val="00BF4CC9"/>
    <w:rsid w:val="00BF663F"/>
    <w:rsid w:val="00C02A18"/>
    <w:rsid w:val="00C0326A"/>
    <w:rsid w:val="00C04A39"/>
    <w:rsid w:val="00C06C9A"/>
    <w:rsid w:val="00C14B68"/>
    <w:rsid w:val="00C17B64"/>
    <w:rsid w:val="00C223F8"/>
    <w:rsid w:val="00C25606"/>
    <w:rsid w:val="00C3217C"/>
    <w:rsid w:val="00C40DDB"/>
    <w:rsid w:val="00C45C64"/>
    <w:rsid w:val="00C7386E"/>
    <w:rsid w:val="00C83508"/>
    <w:rsid w:val="00C84E3D"/>
    <w:rsid w:val="00C86325"/>
    <w:rsid w:val="00C96B94"/>
    <w:rsid w:val="00CA0844"/>
    <w:rsid w:val="00CA31A8"/>
    <w:rsid w:val="00CA4259"/>
    <w:rsid w:val="00CB7FD0"/>
    <w:rsid w:val="00CC4C60"/>
    <w:rsid w:val="00CC7B0A"/>
    <w:rsid w:val="00CD0E7F"/>
    <w:rsid w:val="00CD27FE"/>
    <w:rsid w:val="00CF4A0A"/>
    <w:rsid w:val="00CF567E"/>
    <w:rsid w:val="00D005BC"/>
    <w:rsid w:val="00D04C30"/>
    <w:rsid w:val="00D10237"/>
    <w:rsid w:val="00D15B07"/>
    <w:rsid w:val="00D54EF4"/>
    <w:rsid w:val="00D552C9"/>
    <w:rsid w:val="00D61215"/>
    <w:rsid w:val="00D66F58"/>
    <w:rsid w:val="00D96CB6"/>
    <w:rsid w:val="00D97B62"/>
    <w:rsid w:val="00DC6A24"/>
    <w:rsid w:val="00DC78E8"/>
    <w:rsid w:val="00DD062D"/>
    <w:rsid w:val="00DD5F13"/>
    <w:rsid w:val="00DD690F"/>
    <w:rsid w:val="00DE58F7"/>
    <w:rsid w:val="00DE5912"/>
    <w:rsid w:val="00DF0BCE"/>
    <w:rsid w:val="00E0278C"/>
    <w:rsid w:val="00E0530E"/>
    <w:rsid w:val="00E318EE"/>
    <w:rsid w:val="00E51858"/>
    <w:rsid w:val="00E656F7"/>
    <w:rsid w:val="00E6651F"/>
    <w:rsid w:val="00E76FCC"/>
    <w:rsid w:val="00E81155"/>
    <w:rsid w:val="00E907E9"/>
    <w:rsid w:val="00EA73DD"/>
    <w:rsid w:val="00EB4D4A"/>
    <w:rsid w:val="00ED3830"/>
    <w:rsid w:val="00EE3621"/>
    <w:rsid w:val="00EE6A29"/>
    <w:rsid w:val="00EF3CB2"/>
    <w:rsid w:val="00F0140C"/>
    <w:rsid w:val="00F37BB7"/>
    <w:rsid w:val="00F454E5"/>
    <w:rsid w:val="00F61B68"/>
    <w:rsid w:val="00F7237C"/>
    <w:rsid w:val="00F8568F"/>
    <w:rsid w:val="00F93625"/>
    <w:rsid w:val="00F95297"/>
    <w:rsid w:val="00FA305E"/>
    <w:rsid w:val="00FB7F87"/>
    <w:rsid w:val="00FC520E"/>
    <w:rsid w:val="00FC5D0E"/>
    <w:rsid w:val="00FD0D5E"/>
    <w:rsid w:val="00FD4ECD"/>
    <w:rsid w:val="00FE4290"/>
    <w:rsid w:val="00FF3037"/>
    <w:rsid w:val="00FF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b/beneishmodel.asp" TargetMode="External"/><Relationship Id="rId3" Type="http://schemas.openxmlformats.org/officeDocument/2006/relationships/styles" Target="styles.xml"/><Relationship Id="rId7" Type="http://schemas.openxmlformats.org/officeDocument/2006/relationships/hyperlink" Target="http://blogs.smeal.psu.edu/grumpyoldaccountants/archives/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s.smeal.psu.edu/grumpyoldaccountants/archives/2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2951-3412-4945-8B53-85334E3F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cp:lastPrinted>2011-08-13T14:23:00Z</cp:lastPrinted>
  <dcterms:created xsi:type="dcterms:W3CDTF">2012-02-04T20:44:00Z</dcterms:created>
  <dcterms:modified xsi:type="dcterms:W3CDTF">2012-02-04T21:25:00Z</dcterms:modified>
</cp:coreProperties>
</file>