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DAF" w:rsidRDefault="00397DAF" w:rsidP="00E81155">
      <w:pPr>
        <w:rPr>
          <w:rFonts w:ascii="Arial" w:eastAsia="Times New Roman" w:hAnsi="Arial" w:cs="Arial"/>
          <w:b/>
          <w:sz w:val="28"/>
          <w:szCs w:val="28"/>
        </w:rPr>
      </w:pPr>
      <w:r>
        <w:rPr>
          <w:rFonts w:ascii="Arial" w:eastAsia="Times New Roman" w:hAnsi="Arial" w:cs="Arial"/>
          <w:b/>
          <w:sz w:val="28"/>
          <w:szCs w:val="28"/>
        </w:rPr>
        <w:t>FUQI INTERNATIONAL:</w:t>
      </w:r>
    </w:p>
    <w:p w:rsidR="00F44832" w:rsidRDefault="00397DAF" w:rsidP="00E81155">
      <w:pPr>
        <w:rPr>
          <w:rFonts w:ascii="Arial" w:eastAsia="Times New Roman" w:hAnsi="Arial" w:cs="Arial"/>
          <w:b/>
          <w:sz w:val="28"/>
          <w:szCs w:val="28"/>
        </w:rPr>
      </w:pPr>
      <w:r>
        <w:rPr>
          <w:rFonts w:ascii="Arial" w:eastAsia="Times New Roman" w:hAnsi="Arial" w:cs="Arial"/>
          <w:b/>
          <w:sz w:val="28"/>
          <w:szCs w:val="28"/>
        </w:rPr>
        <w:t>ALL YOU NEED TO KNOW ABOUT INVESTING IN CHINA</w:t>
      </w:r>
    </w:p>
    <w:p w:rsidR="002F0BA6" w:rsidRDefault="002F0BA6" w:rsidP="00E81155">
      <w:pPr>
        <w:rPr>
          <w:rFonts w:ascii="Arial" w:eastAsia="Times New Roman" w:hAnsi="Arial" w:cs="Arial"/>
          <w:b/>
          <w:sz w:val="28"/>
          <w:szCs w:val="28"/>
        </w:rPr>
      </w:pPr>
    </w:p>
    <w:p w:rsidR="0018488F" w:rsidRDefault="0018488F" w:rsidP="00E81155">
      <w:pPr>
        <w:rPr>
          <w:rFonts w:ascii="Arial" w:eastAsia="Times New Roman" w:hAnsi="Arial" w:cs="Arial"/>
          <w:b/>
          <w:i/>
          <w:sz w:val="24"/>
          <w:szCs w:val="24"/>
        </w:rPr>
      </w:pPr>
      <w:r w:rsidRPr="0087771A">
        <w:rPr>
          <w:rFonts w:ascii="Arial" w:eastAsia="Times New Roman" w:hAnsi="Arial" w:cs="Arial"/>
          <w:b/>
          <w:i/>
          <w:sz w:val="24"/>
          <w:szCs w:val="24"/>
        </w:rPr>
        <w:t>Anthony H. Catanach Jr. and J. Edward Ketz</w:t>
      </w:r>
    </w:p>
    <w:p w:rsidR="0018488F" w:rsidRDefault="0018488F" w:rsidP="00E81155">
      <w:pPr>
        <w:rPr>
          <w:rFonts w:ascii="Arial" w:eastAsia="Times New Roman" w:hAnsi="Arial" w:cs="Arial"/>
          <w:b/>
          <w:i/>
          <w:sz w:val="24"/>
          <w:szCs w:val="24"/>
        </w:rPr>
      </w:pPr>
      <w:r>
        <w:rPr>
          <w:rFonts w:ascii="Arial" w:eastAsia="Times New Roman" w:hAnsi="Arial" w:cs="Arial"/>
          <w:b/>
          <w:i/>
          <w:sz w:val="24"/>
          <w:szCs w:val="24"/>
        </w:rPr>
        <w:t>Grumpy Old Accountants, January 2012</w:t>
      </w:r>
    </w:p>
    <w:p w:rsidR="0018488F" w:rsidRDefault="0018488F" w:rsidP="00EE3621">
      <w:pPr>
        <w:rPr>
          <w:rFonts w:ascii="Verdana" w:eastAsia="Times New Roman" w:hAnsi="Verdana" w:cs="Arial"/>
          <w:sz w:val="24"/>
          <w:szCs w:val="24"/>
        </w:rPr>
      </w:pPr>
    </w:p>
    <w:p w:rsidR="00262AA0" w:rsidRDefault="00262AA0" w:rsidP="00262AA0">
      <w:pPr>
        <w:rPr>
          <w:rFonts w:ascii="Verdana" w:eastAsia="Times New Roman" w:hAnsi="Verdana" w:cs="Arial"/>
          <w:i/>
          <w:sz w:val="24"/>
          <w:szCs w:val="24"/>
        </w:rPr>
      </w:pPr>
      <w:r>
        <w:rPr>
          <w:rFonts w:ascii="Verdana" w:eastAsia="Times New Roman" w:hAnsi="Verdana" w:cs="Arial"/>
          <w:i/>
          <w:sz w:val="24"/>
          <w:szCs w:val="24"/>
        </w:rPr>
        <w:t>“</w:t>
      </w:r>
      <w:r w:rsidRPr="00262AA0">
        <w:rPr>
          <w:rFonts w:ascii="Verdana" w:eastAsia="Times New Roman" w:hAnsi="Verdana" w:cs="Arial"/>
          <w:i/>
          <w:sz w:val="24"/>
          <w:szCs w:val="24"/>
        </w:rPr>
        <w:t>Learning without thought is naught; thought without learning is dangerous.</w:t>
      </w:r>
      <w:r>
        <w:rPr>
          <w:rFonts w:ascii="Verdana" w:eastAsia="Times New Roman" w:hAnsi="Verdana" w:cs="Arial"/>
          <w:i/>
          <w:sz w:val="24"/>
          <w:szCs w:val="24"/>
        </w:rPr>
        <w:t xml:space="preserve">” </w:t>
      </w:r>
    </w:p>
    <w:p w:rsidR="00262AA0" w:rsidRPr="00262AA0" w:rsidRDefault="00262AA0" w:rsidP="00262AA0">
      <w:pPr>
        <w:jc w:val="center"/>
        <w:rPr>
          <w:rFonts w:ascii="Verdana" w:eastAsia="Times New Roman" w:hAnsi="Verdana" w:cs="Arial"/>
          <w:sz w:val="24"/>
          <w:szCs w:val="24"/>
        </w:rPr>
      </w:pPr>
      <w:r>
        <w:rPr>
          <w:rFonts w:ascii="Verdana" w:eastAsia="Times New Roman" w:hAnsi="Verdana" w:cs="Arial"/>
          <w:i/>
          <w:sz w:val="24"/>
          <w:szCs w:val="24"/>
        </w:rPr>
        <w:t xml:space="preserve"> - </w:t>
      </w:r>
      <w:r w:rsidRPr="00262AA0">
        <w:rPr>
          <w:rFonts w:ascii="Verdana" w:eastAsia="Times New Roman" w:hAnsi="Verdana" w:cs="Arial"/>
          <w:sz w:val="24"/>
          <w:szCs w:val="24"/>
        </w:rPr>
        <w:t>Confucius</w:t>
      </w:r>
    </w:p>
    <w:p w:rsidR="00262AA0" w:rsidRDefault="00262AA0" w:rsidP="00EE3621">
      <w:pPr>
        <w:rPr>
          <w:rFonts w:ascii="Verdana" w:eastAsia="Times New Roman" w:hAnsi="Verdana" w:cs="Arial"/>
          <w:sz w:val="24"/>
          <w:szCs w:val="24"/>
        </w:rPr>
      </w:pPr>
    </w:p>
    <w:p w:rsidR="00C11388" w:rsidRDefault="00262AA0" w:rsidP="00EE3621">
      <w:pPr>
        <w:rPr>
          <w:rFonts w:ascii="Verdana" w:eastAsia="Times New Roman" w:hAnsi="Verdana" w:cs="Arial"/>
          <w:sz w:val="24"/>
          <w:szCs w:val="24"/>
        </w:rPr>
      </w:pPr>
      <w:r>
        <w:rPr>
          <w:rFonts w:ascii="Verdana" w:eastAsia="Times New Roman" w:hAnsi="Verdana" w:cs="Arial"/>
          <w:sz w:val="24"/>
          <w:szCs w:val="24"/>
        </w:rPr>
        <w:t xml:space="preserve">Apparently, investors have learned </w:t>
      </w:r>
      <w:r w:rsidR="00C11388">
        <w:rPr>
          <w:rFonts w:ascii="Verdana" w:eastAsia="Times New Roman" w:hAnsi="Verdana" w:cs="Arial"/>
          <w:sz w:val="24"/>
          <w:szCs w:val="24"/>
        </w:rPr>
        <w:t xml:space="preserve">very </w:t>
      </w:r>
      <w:r>
        <w:rPr>
          <w:rFonts w:ascii="Verdana" w:eastAsia="Times New Roman" w:hAnsi="Verdana" w:cs="Arial"/>
          <w:sz w:val="24"/>
          <w:szCs w:val="24"/>
        </w:rPr>
        <w:t>little f</w:t>
      </w:r>
      <w:r w:rsidR="0050185A">
        <w:rPr>
          <w:rFonts w:ascii="Verdana" w:eastAsia="Times New Roman" w:hAnsi="Verdana" w:cs="Arial"/>
          <w:sz w:val="24"/>
          <w:szCs w:val="24"/>
        </w:rPr>
        <w:t xml:space="preserve">rom our past investment bubble </w:t>
      </w:r>
      <w:r>
        <w:rPr>
          <w:rFonts w:ascii="Verdana" w:eastAsia="Times New Roman" w:hAnsi="Verdana" w:cs="Arial"/>
          <w:sz w:val="24"/>
          <w:szCs w:val="24"/>
        </w:rPr>
        <w:t>fiascos.  Today, China is frequently touted as the most important emerging market given its rapidly growing economy, prompting global investors to plough billions of dollars into Chinese company investmen</w:t>
      </w:r>
      <w:r w:rsidR="00A344D2">
        <w:rPr>
          <w:rFonts w:ascii="Verdana" w:eastAsia="Times New Roman" w:hAnsi="Verdana" w:cs="Arial"/>
          <w:sz w:val="24"/>
          <w:szCs w:val="24"/>
        </w:rPr>
        <w:t>ts.  But a</w:t>
      </w:r>
      <w:r>
        <w:rPr>
          <w:rFonts w:ascii="Verdana" w:eastAsia="Times New Roman" w:hAnsi="Verdana" w:cs="Arial"/>
          <w:sz w:val="24"/>
          <w:szCs w:val="24"/>
        </w:rPr>
        <w:t>re we looking at anothe</w:t>
      </w:r>
      <w:r w:rsidR="00E7090C">
        <w:rPr>
          <w:rFonts w:ascii="Verdana" w:eastAsia="Times New Roman" w:hAnsi="Verdana" w:cs="Arial"/>
          <w:sz w:val="24"/>
          <w:szCs w:val="24"/>
        </w:rPr>
        <w:t xml:space="preserve">r </w:t>
      </w:r>
      <w:r w:rsidR="00C11388">
        <w:rPr>
          <w:rFonts w:ascii="Verdana" w:eastAsia="Times New Roman" w:hAnsi="Verdana" w:cs="Arial"/>
          <w:sz w:val="24"/>
          <w:szCs w:val="24"/>
        </w:rPr>
        <w:t>“</w:t>
      </w:r>
      <w:r w:rsidR="00E7090C">
        <w:rPr>
          <w:rFonts w:ascii="Verdana" w:eastAsia="Times New Roman" w:hAnsi="Verdana" w:cs="Arial"/>
          <w:sz w:val="24"/>
          <w:szCs w:val="24"/>
        </w:rPr>
        <w:t>dot-com tragedy</w:t>
      </w:r>
      <w:r w:rsidR="00C11388">
        <w:rPr>
          <w:rFonts w:ascii="Verdana" w:eastAsia="Times New Roman" w:hAnsi="Verdana" w:cs="Arial"/>
          <w:sz w:val="24"/>
          <w:szCs w:val="24"/>
        </w:rPr>
        <w:t>”</w:t>
      </w:r>
      <w:r w:rsidR="00E7090C">
        <w:rPr>
          <w:rFonts w:ascii="Verdana" w:eastAsia="Times New Roman" w:hAnsi="Verdana" w:cs="Arial"/>
          <w:sz w:val="24"/>
          <w:szCs w:val="24"/>
        </w:rPr>
        <w:t xml:space="preserve"> in the making?</w:t>
      </w:r>
      <w:r>
        <w:rPr>
          <w:rFonts w:ascii="Verdana" w:eastAsia="Times New Roman" w:hAnsi="Verdana" w:cs="Arial"/>
          <w:sz w:val="24"/>
          <w:szCs w:val="24"/>
        </w:rPr>
        <w:t xml:space="preserve">  After all, i</w:t>
      </w:r>
      <w:r w:rsidR="00F44832">
        <w:rPr>
          <w:rFonts w:ascii="Verdana" w:eastAsia="Times New Roman" w:hAnsi="Verdana" w:cs="Arial"/>
          <w:sz w:val="24"/>
          <w:szCs w:val="24"/>
        </w:rPr>
        <w:t>nvesting in Ch</w:t>
      </w:r>
      <w:r w:rsidR="0090324F">
        <w:rPr>
          <w:rFonts w:ascii="Verdana" w:eastAsia="Times New Roman" w:hAnsi="Verdana" w:cs="Arial"/>
          <w:sz w:val="24"/>
          <w:szCs w:val="24"/>
        </w:rPr>
        <w:t>inese companies carries a multitude of</w:t>
      </w:r>
      <w:r w:rsidR="00F44832">
        <w:rPr>
          <w:rFonts w:ascii="Verdana" w:eastAsia="Times New Roman" w:hAnsi="Verdana" w:cs="Arial"/>
          <w:sz w:val="24"/>
          <w:szCs w:val="24"/>
        </w:rPr>
        <w:t xml:space="preserve"> risks including social and political instability, market illiquidity, exchange rate fluctuations, stock price volatility, and lack of regulatory oversight</w:t>
      </w:r>
      <w:r w:rsidR="00C11388">
        <w:rPr>
          <w:rFonts w:ascii="Verdana" w:eastAsia="Times New Roman" w:hAnsi="Verdana" w:cs="Arial"/>
          <w:sz w:val="24"/>
          <w:szCs w:val="24"/>
        </w:rPr>
        <w:t xml:space="preserve">.  And let’s not forget the </w:t>
      </w:r>
      <w:r w:rsidR="00B3541F">
        <w:rPr>
          <w:rFonts w:ascii="Verdana" w:eastAsia="Times New Roman" w:hAnsi="Verdana" w:cs="Arial"/>
          <w:sz w:val="24"/>
          <w:szCs w:val="24"/>
        </w:rPr>
        <w:t xml:space="preserve">governmental corruption we previously discussed in </w:t>
      </w:r>
      <w:hyperlink r:id="rId5" w:history="1">
        <w:r w:rsidR="00B3541F" w:rsidRPr="00B3541F">
          <w:rPr>
            <w:rStyle w:val="Hyperlink"/>
            <w:rFonts w:ascii="Verdana" w:eastAsia="Times New Roman" w:hAnsi="Verdana" w:cs="Arial"/>
            <w:sz w:val="24"/>
            <w:szCs w:val="24"/>
          </w:rPr>
          <w:t>Congress the Corrupt</w:t>
        </w:r>
      </w:hyperlink>
      <w:r w:rsidR="00B3541F">
        <w:rPr>
          <w:rFonts w:ascii="Verdana" w:eastAsia="Times New Roman" w:hAnsi="Verdana" w:cs="Arial"/>
          <w:sz w:val="24"/>
          <w:szCs w:val="24"/>
        </w:rPr>
        <w:t>.</w:t>
      </w:r>
    </w:p>
    <w:p w:rsidR="00C11388" w:rsidRDefault="00C11388" w:rsidP="00EE3621">
      <w:pPr>
        <w:rPr>
          <w:rFonts w:ascii="Verdana" w:eastAsia="Times New Roman" w:hAnsi="Verdana" w:cs="Arial"/>
          <w:sz w:val="24"/>
          <w:szCs w:val="24"/>
        </w:rPr>
      </w:pPr>
    </w:p>
    <w:p w:rsidR="0090324F" w:rsidRDefault="00E56799" w:rsidP="00EE3621">
      <w:pPr>
        <w:rPr>
          <w:rFonts w:ascii="Verdana" w:eastAsia="Times New Roman" w:hAnsi="Verdana" w:cs="Arial"/>
          <w:sz w:val="24"/>
          <w:szCs w:val="24"/>
        </w:rPr>
      </w:pPr>
      <w:r>
        <w:rPr>
          <w:rFonts w:ascii="Verdana" w:eastAsia="Times New Roman" w:hAnsi="Verdana" w:cs="Arial"/>
          <w:sz w:val="24"/>
          <w:szCs w:val="24"/>
        </w:rPr>
        <w:t>Yet, e</w:t>
      </w:r>
      <w:r w:rsidR="00262AA0">
        <w:rPr>
          <w:rFonts w:ascii="Verdana" w:eastAsia="Times New Roman" w:hAnsi="Verdana" w:cs="Arial"/>
          <w:sz w:val="24"/>
          <w:szCs w:val="24"/>
        </w:rPr>
        <w:t xml:space="preserve">ven </w:t>
      </w:r>
      <w:hyperlink r:id="rId6" w:history="1">
        <w:r w:rsidR="00262AA0" w:rsidRPr="00262AA0">
          <w:rPr>
            <w:rStyle w:val="Hyperlink"/>
            <w:rFonts w:ascii="Verdana" w:eastAsia="Times New Roman" w:hAnsi="Verdana" w:cs="Arial"/>
            <w:sz w:val="24"/>
            <w:szCs w:val="24"/>
          </w:rPr>
          <w:t>Warren Buffett</w:t>
        </w:r>
      </w:hyperlink>
      <w:r w:rsidR="00262AA0">
        <w:rPr>
          <w:rFonts w:ascii="Verdana" w:eastAsia="Times New Roman" w:hAnsi="Verdana" w:cs="Arial"/>
          <w:sz w:val="24"/>
          <w:szCs w:val="24"/>
        </w:rPr>
        <w:t xml:space="preserve"> appears to have caught the China investing bug:</w:t>
      </w:r>
    </w:p>
    <w:p w:rsidR="00262AA0" w:rsidRDefault="00262AA0" w:rsidP="00EE3621">
      <w:pPr>
        <w:rPr>
          <w:rFonts w:ascii="Verdana" w:eastAsia="Times New Roman" w:hAnsi="Verdana" w:cs="Arial"/>
          <w:sz w:val="24"/>
          <w:szCs w:val="24"/>
        </w:rPr>
      </w:pPr>
    </w:p>
    <w:p w:rsidR="00262AA0" w:rsidRPr="00262AA0" w:rsidRDefault="00262AA0" w:rsidP="00EE3621">
      <w:pPr>
        <w:rPr>
          <w:rFonts w:ascii="Verdana" w:eastAsia="Times New Roman" w:hAnsi="Verdana" w:cs="Arial"/>
          <w:i/>
          <w:sz w:val="24"/>
          <w:szCs w:val="24"/>
        </w:rPr>
      </w:pPr>
      <w:r w:rsidRPr="00262AA0">
        <w:rPr>
          <w:rFonts w:ascii="Verdana" w:eastAsia="Times New Roman" w:hAnsi="Verdana" w:cs="Arial"/>
          <w:i/>
          <w:sz w:val="24"/>
          <w:szCs w:val="24"/>
        </w:rPr>
        <w:t>"The 19th century belonged to England, the 20th century belonged to the U.S., and the 21st century belongs to China. Invest accordingly."</w:t>
      </w:r>
    </w:p>
    <w:p w:rsidR="0090324F" w:rsidRDefault="0090324F" w:rsidP="00EE3621">
      <w:pPr>
        <w:rPr>
          <w:rFonts w:ascii="Verdana" w:eastAsia="Times New Roman" w:hAnsi="Verdana" w:cs="Arial"/>
          <w:sz w:val="24"/>
          <w:szCs w:val="24"/>
        </w:rPr>
      </w:pPr>
    </w:p>
    <w:p w:rsidR="00CF156B" w:rsidRDefault="0090324F" w:rsidP="00EE3621">
      <w:pPr>
        <w:rPr>
          <w:rFonts w:ascii="Verdana" w:eastAsia="Times New Roman" w:hAnsi="Verdana" w:cs="Arial"/>
          <w:sz w:val="24"/>
          <w:szCs w:val="24"/>
        </w:rPr>
      </w:pPr>
      <w:r>
        <w:rPr>
          <w:rFonts w:ascii="Verdana" w:eastAsia="Times New Roman" w:hAnsi="Verdana" w:cs="Arial"/>
          <w:sz w:val="24"/>
          <w:szCs w:val="24"/>
        </w:rPr>
        <w:t>What troubles these Grumpy Old Accountants, however, is the country’s blatant disregard for</w:t>
      </w:r>
      <w:r w:rsidR="00C11388">
        <w:rPr>
          <w:rFonts w:ascii="Verdana" w:eastAsia="Times New Roman" w:hAnsi="Verdana" w:cs="Arial"/>
          <w:sz w:val="24"/>
          <w:szCs w:val="24"/>
        </w:rPr>
        <w:t xml:space="preserve"> basic</w:t>
      </w:r>
      <w:r>
        <w:rPr>
          <w:rFonts w:ascii="Verdana" w:eastAsia="Times New Roman" w:hAnsi="Verdana" w:cs="Arial"/>
          <w:sz w:val="24"/>
          <w:szCs w:val="24"/>
        </w:rPr>
        <w:t xml:space="preserve"> financial reporting transparency</w:t>
      </w:r>
      <w:r w:rsidR="00B3541F">
        <w:rPr>
          <w:rFonts w:ascii="Verdana" w:eastAsia="Times New Roman" w:hAnsi="Verdana" w:cs="Arial"/>
          <w:sz w:val="24"/>
          <w:szCs w:val="24"/>
        </w:rPr>
        <w:t>, and the willingness of investors and auditors to ignore this</w:t>
      </w:r>
      <w:r>
        <w:rPr>
          <w:rFonts w:ascii="Verdana" w:eastAsia="Times New Roman" w:hAnsi="Verdana" w:cs="Arial"/>
          <w:sz w:val="24"/>
          <w:szCs w:val="24"/>
        </w:rPr>
        <w:t xml:space="preserve">.  So bad are Chinese financial reports that </w:t>
      </w:r>
      <w:hyperlink r:id="rId7" w:history="1">
        <w:r w:rsidRPr="0090324F">
          <w:rPr>
            <w:rStyle w:val="Hyperlink"/>
            <w:rFonts w:ascii="Verdana" w:eastAsia="Times New Roman" w:hAnsi="Verdana" w:cs="Arial"/>
            <w:sz w:val="24"/>
            <w:szCs w:val="24"/>
          </w:rPr>
          <w:t>Keith Fitz-Gerald</w:t>
        </w:r>
      </w:hyperlink>
      <w:r>
        <w:rPr>
          <w:rFonts w:ascii="Verdana" w:eastAsia="Times New Roman" w:hAnsi="Verdana" w:cs="Arial"/>
          <w:sz w:val="24"/>
          <w:szCs w:val="24"/>
        </w:rPr>
        <w:t xml:space="preserve"> suggests that China “has actually brought financial misappropriation to an art form.”</w:t>
      </w:r>
      <w:r w:rsidR="00262AA0">
        <w:rPr>
          <w:rFonts w:ascii="Verdana" w:eastAsia="Times New Roman" w:hAnsi="Verdana" w:cs="Arial"/>
          <w:sz w:val="24"/>
          <w:szCs w:val="24"/>
        </w:rPr>
        <w:t xml:space="preserve">  Yet this apparent lack of quality financial information by which investment performance is evaluated seems to concern few investors.</w:t>
      </w:r>
      <w:r w:rsidR="00B15DE7">
        <w:rPr>
          <w:rFonts w:ascii="Verdana" w:eastAsia="Times New Roman" w:hAnsi="Verdana" w:cs="Arial"/>
          <w:sz w:val="24"/>
          <w:szCs w:val="24"/>
        </w:rPr>
        <w:t xml:space="preserve">  Exactly how bad is it?</w:t>
      </w:r>
    </w:p>
    <w:p w:rsidR="00B15DE7" w:rsidRDefault="00B15DE7" w:rsidP="00EE3621">
      <w:pPr>
        <w:rPr>
          <w:rFonts w:ascii="Verdana" w:eastAsia="Times New Roman" w:hAnsi="Verdana" w:cs="Arial"/>
          <w:sz w:val="24"/>
          <w:szCs w:val="24"/>
        </w:rPr>
      </w:pPr>
    </w:p>
    <w:p w:rsidR="00656E06" w:rsidRDefault="00B15DE7" w:rsidP="00EE3621">
      <w:pPr>
        <w:rPr>
          <w:rFonts w:ascii="Verdana" w:eastAsia="Times New Roman" w:hAnsi="Verdana" w:cs="Arial"/>
          <w:sz w:val="24"/>
          <w:szCs w:val="24"/>
        </w:rPr>
      </w:pPr>
      <w:r>
        <w:rPr>
          <w:rFonts w:ascii="Verdana" w:eastAsia="Times New Roman" w:hAnsi="Verdana" w:cs="Arial"/>
          <w:sz w:val="24"/>
          <w:szCs w:val="24"/>
        </w:rPr>
        <w:t xml:space="preserve">Well, according to </w:t>
      </w:r>
      <w:hyperlink r:id="rId8" w:history="1">
        <w:r w:rsidRPr="001D0C1E">
          <w:rPr>
            <w:rStyle w:val="Hyperlink"/>
            <w:rFonts w:ascii="Verdana" w:eastAsia="Times New Roman" w:hAnsi="Verdana" w:cs="Arial"/>
            <w:sz w:val="24"/>
            <w:szCs w:val="24"/>
          </w:rPr>
          <w:t>Matt Atkins</w:t>
        </w:r>
      </w:hyperlink>
      <w:r>
        <w:rPr>
          <w:rFonts w:ascii="Verdana" w:eastAsia="Times New Roman" w:hAnsi="Verdana" w:cs="Arial"/>
          <w:sz w:val="24"/>
          <w:szCs w:val="24"/>
        </w:rPr>
        <w:t xml:space="preserve"> at Financier Worldwide.Com, accounting fraud in US listed Chinese companies ha</w:t>
      </w:r>
      <w:r w:rsidR="001D0C1E">
        <w:rPr>
          <w:rFonts w:ascii="Verdana" w:eastAsia="Times New Roman" w:hAnsi="Verdana" w:cs="Arial"/>
          <w:sz w:val="24"/>
          <w:szCs w:val="24"/>
        </w:rPr>
        <w:t xml:space="preserve">s grown recently with reporting problems at China Forestry Holdings, RINO International, Sino-Forest Corporation, and </w:t>
      </w:r>
      <w:proofErr w:type="spellStart"/>
      <w:r w:rsidR="001D0C1E">
        <w:rPr>
          <w:rFonts w:ascii="Verdana" w:eastAsia="Times New Roman" w:hAnsi="Verdana" w:cs="Arial"/>
          <w:sz w:val="24"/>
          <w:szCs w:val="24"/>
        </w:rPr>
        <w:t>Longtop</w:t>
      </w:r>
      <w:proofErr w:type="spellEnd"/>
      <w:r w:rsidR="001D0C1E">
        <w:rPr>
          <w:rFonts w:ascii="Verdana" w:eastAsia="Times New Roman" w:hAnsi="Verdana" w:cs="Arial"/>
          <w:sz w:val="24"/>
          <w:szCs w:val="24"/>
        </w:rPr>
        <w:t xml:space="preserve"> garneri</w:t>
      </w:r>
      <w:r w:rsidR="00C11388">
        <w:rPr>
          <w:rFonts w:ascii="Verdana" w:eastAsia="Times New Roman" w:hAnsi="Verdana" w:cs="Arial"/>
          <w:sz w:val="24"/>
          <w:szCs w:val="24"/>
        </w:rPr>
        <w:t>ng significant attention.  The situation is so dire</w:t>
      </w:r>
      <w:r w:rsidR="00E62481">
        <w:rPr>
          <w:rFonts w:ascii="Verdana" w:eastAsia="Times New Roman" w:hAnsi="Verdana" w:cs="Arial"/>
          <w:sz w:val="24"/>
          <w:szCs w:val="24"/>
        </w:rPr>
        <w:t>,</w:t>
      </w:r>
      <w:r w:rsidR="001D0C1E">
        <w:rPr>
          <w:rFonts w:ascii="Verdana" w:eastAsia="Times New Roman" w:hAnsi="Verdana" w:cs="Arial"/>
          <w:sz w:val="24"/>
          <w:szCs w:val="24"/>
        </w:rPr>
        <w:t xml:space="preserve"> in fact, that the </w:t>
      </w:r>
      <w:hyperlink r:id="rId9" w:history="1">
        <w:r w:rsidR="001D0C1E" w:rsidRPr="00E62481">
          <w:rPr>
            <w:rStyle w:val="Hyperlink"/>
            <w:rFonts w:ascii="Verdana" w:eastAsia="Times New Roman" w:hAnsi="Verdana" w:cs="Arial"/>
            <w:sz w:val="24"/>
            <w:szCs w:val="24"/>
          </w:rPr>
          <w:t>US Justice Department</w:t>
        </w:r>
      </w:hyperlink>
      <w:r w:rsidR="001D0C1E">
        <w:rPr>
          <w:rFonts w:ascii="Verdana" w:eastAsia="Times New Roman" w:hAnsi="Verdana" w:cs="Arial"/>
          <w:sz w:val="24"/>
          <w:szCs w:val="24"/>
        </w:rPr>
        <w:t xml:space="preserve"> has now initiated an investigation into accounting irregularities</w:t>
      </w:r>
      <w:r w:rsidR="00E62481">
        <w:rPr>
          <w:rFonts w:ascii="Verdana" w:eastAsia="Times New Roman" w:hAnsi="Verdana" w:cs="Arial"/>
          <w:sz w:val="24"/>
          <w:szCs w:val="24"/>
        </w:rPr>
        <w:t xml:space="preserve"> of Chinese firms that are publicly traded on US exchanges.</w:t>
      </w:r>
      <w:r w:rsidR="00656E06">
        <w:rPr>
          <w:rFonts w:ascii="Verdana" w:eastAsia="Times New Roman" w:hAnsi="Verdana" w:cs="Arial"/>
          <w:sz w:val="24"/>
          <w:szCs w:val="24"/>
        </w:rPr>
        <w:t xml:space="preserve">  </w:t>
      </w:r>
    </w:p>
    <w:p w:rsidR="00656E06" w:rsidRDefault="00656E06" w:rsidP="00EE3621">
      <w:pPr>
        <w:rPr>
          <w:rFonts w:ascii="Verdana" w:eastAsia="Times New Roman" w:hAnsi="Verdana" w:cs="Arial"/>
          <w:sz w:val="24"/>
          <w:szCs w:val="24"/>
        </w:rPr>
      </w:pPr>
    </w:p>
    <w:p w:rsidR="00360B75" w:rsidRDefault="00656E06" w:rsidP="00EE3621">
      <w:pPr>
        <w:rPr>
          <w:rFonts w:ascii="Verdana" w:eastAsia="Times New Roman" w:hAnsi="Verdana" w:cs="Arial"/>
          <w:sz w:val="24"/>
          <w:szCs w:val="24"/>
        </w:rPr>
      </w:pPr>
      <w:r>
        <w:rPr>
          <w:rFonts w:ascii="Verdana" w:eastAsia="Times New Roman" w:hAnsi="Verdana" w:cs="Arial"/>
          <w:sz w:val="24"/>
          <w:szCs w:val="24"/>
        </w:rPr>
        <w:t xml:space="preserve">What has prompted all the sudden scrutiny?  The use of a financial tool known as </w:t>
      </w:r>
      <w:r w:rsidRPr="00656E06">
        <w:rPr>
          <w:rFonts w:ascii="Verdana" w:eastAsia="Times New Roman" w:hAnsi="Verdana" w:cs="Arial"/>
          <w:i/>
          <w:sz w:val="24"/>
          <w:szCs w:val="24"/>
        </w:rPr>
        <w:t>reverse mergers</w:t>
      </w:r>
      <w:r>
        <w:rPr>
          <w:rFonts w:ascii="Verdana" w:eastAsia="Times New Roman" w:hAnsi="Verdana" w:cs="Arial"/>
          <w:sz w:val="24"/>
          <w:szCs w:val="24"/>
        </w:rPr>
        <w:t xml:space="preserve">.  According to </w:t>
      </w:r>
      <w:hyperlink r:id="rId10" w:history="1">
        <w:r w:rsidR="00360B75" w:rsidRPr="00360B75">
          <w:rPr>
            <w:rStyle w:val="Hyperlink"/>
            <w:rFonts w:ascii="Verdana" w:eastAsia="Times New Roman" w:hAnsi="Verdana" w:cs="Arial"/>
            <w:sz w:val="24"/>
            <w:szCs w:val="24"/>
          </w:rPr>
          <w:t>Joshua M. Brown</w:t>
        </w:r>
      </w:hyperlink>
      <w:r w:rsidR="00360B75">
        <w:rPr>
          <w:rFonts w:ascii="Verdana" w:eastAsia="Times New Roman" w:hAnsi="Verdana" w:cs="Arial"/>
          <w:sz w:val="24"/>
          <w:szCs w:val="24"/>
        </w:rPr>
        <w:t xml:space="preserve">, as many as 300 Chinese companies entered the US stock market in recent years using this technique.  In reverse merger transactions, an existing public reporting </w:t>
      </w:r>
      <w:r w:rsidR="00360B75">
        <w:rPr>
          <w:rFonts w:ascii="Verdana" w:eastAsia="Times New Roman" w:hAnsi="Verdana" w:cs="Arial"/>
          <w:sz w:val="24"/>
          <w:szCs w:val="24"/>
        </w:rPr>
        <w:lastRenderedPageBreak/>
        <w:t xml:space="preserve">company with few or no operations, a “shell,” acquires a private operating company seeking to access funding in the US capital markets.  The private company shareholders exchange their shares for a large majority of the “shell” public company, giving them </w:t>
      </w:r>
      <w:r w:rsidR="00C11388">
        <w:rPr>
          <w:rFonts w:ascii="Verdana" w:eastAsia="Times New Roman" w:hAnsi="Verdana" w:cs="Arial"/>
          <w:sz w:val="24"/>
          <w:szCs w:val="24"/>
        </w:rPr>
        <w:t xml:space="preserve">a </w:t>
      </w:r>
      <w:r w:rsidR="00360B75">
        <w:rPr>
          <w:rFonts w:ascii="Verdana" w:eastAsia="Times New Roman" w:hAnsi="Verdana" w:cs="Arial"/>
          <w:sz w:val="24"/>
          <w:szCs w:val="24"/>
        </w:rPr>
        <w:t>controlling interest.  The board, management, assets, and operations of the post-merger surviving public company are primarily those of the former private operating company.  These transactions are attractive as they are perceived to be a quicker and cheaper method of “going public” than an initial public offering (IPO).</w:t>
      </w:r>
    </w:p>
    <w:p w:rsidR="00360B75" w:rsidRDefault="00360B75" w:rsidP="00EE3621">
      <w:pPr>
        <w:rPr>
          <w:rFonts w:ascii="Verdana" w:eastAsia="Times New Roman" w:hAnsi="Verdana" w:cs="Arial"/>
          <w:sz w:val="24"/>
          <w:szCs w:val="24"/>
        </w:rPr>
      </w:pPr>
    </w:p>
    <w:p w:rsidR="00B15DE7" w:rsidRDefault="00360B75" w:rsidP="00EE3621">
      <w:pPr>
        <w:rPr>
          <w:rFonts w:ascii="Verdana" w:eastAsia="Times New Roman" w:hAnsi="Verdana" w:cs="Arial"/>
          <w:sz w:val="24"/>
          <w:szCs w:val="24"/>
        </w:rPr>
      </w:pPr>
      <w:r>
        <w:rPr>
          <w:rFonts w:ascii="Verdana" w:eastAsia="Times New Roman" w:hAnsi="Verdana" w:cs="Arial"/>
          <w:sz w:val="24"/>
          <w:szCs w:val="24"/>
        </w:rPr>
        <w:t xml:space="preserve">One problem with </w:t>
      </w:r>
      <w:r w:rsidR="00262A14">
        <w:rPr>
          <w:rFonts w:ascii="Verdana" w:eastAsia="Times New Roman" w:hAnsi="Verdana" w:cs="Arial"/>
          <w:sz w:val="24"/>
          <w:szCs w:val="24"/>
        </w:rPr>
        <w:t xml:space="preserve">Chinese reverse mergers (CRM) raised by the Public Company Accounting Oversight Board (PCAOB) is that the audits of these companies conducted by US auditors may not be in accordance with PCAOB standards.  In </w:t>
      </w:r>
      <w:hyperlink r:id="rId11" w:history="1">
        <w:r w:rsidR="00262A14" w:rsidRPr="00262A14">
          <w:rPr>
            <w:rStyle w:val="Hyperlink"/>
            <w:rFonts w:ascii="Verdana" w:eastAsia="Times New Roman" w:hAnsi="Verdana" w:cs="Arial"/>
            <w:sz w:val="24"/>
            <w:szCs w:val="24"/>
          </w:rPr>
          <w:t>Research Note #2011-P1</w:t>
        </w:r>
      </w:hyperlink>
      <w:r w:rsidR="00262A14">
        <w:rPr>
          <w:rFonts w:ascii="Verdana" w:eastAsia="Times New Roman" w:hAnsi="Verdana" w:cs="Arial"/>
          <w:sz w:val="24"/>
          <w:szCs w:val="24"/>
        </w:rPr>
        <w:t>, the PCAOB documented its concerns focusing primarily on cases where US audit firms relied on another firm</w:t>
      </w:r>
      <w:r w:rsidR="00A344D2">
        <w:rPr>
          <w:rFonts w:ascii="Verdana" w:eastAsia="Times New Roman" w:hAnsi="Verdana" w:cs="Arial"/>
          <w:sz w:val="24"/>
          <w:szCs w:val="24"/>
        </w:rPr>
        <w:t>,</w:t>
      </w:r>
      <w:r w:rsidR="00262A14">
        <w:rPr>
          <w:rFonts w:ascii="Verdana" w:eastAsia="Times New Roman" w:hAnsi="Verdana" w:cs="Arial"/>
          <w:sz w:val="24"/>
          <w:szCs w:val="24"/>
        </w:rPr>
        <w:t xml:space="preserve"> or assistants outside the firm</w:t>
      </w:r>
      <w:r w:rsidR="00A344D2">
        <w:rPr>
          <w:rFonts w:ascii="Verdana" w:eastAsia="Times New Roman" w:hAnsi="Verdana" w:cs="Arial"/>
          <w:sz w:val="24"/>
          <w:szCs w:val="24"/>
        </w:rPr>
        <w:t>,</w:t>
      </w:r>
      <w:r w:rsidR="00262A14">
        <w:rPr>
          <w:rFonts w:ascii="Verdana" w:eastAsia="Times New Roman" w:hAnsi="Verdana" w:cs="Arial"/>
          <w:sz w:val="24"/>
          <w:szCs w:val="24"/>
        </w:rPr>
        <w:t xml:space="preserve"> to </w:t>
      </w:r>
      <w:r w:rsidR="00A344D2">
        <w:rPr>
          <w:rFonts w:ascii="Verdana" w:eastAsia="Times New Roman" w:hAnsi="Verdana" w:cs="Arial"/>
          <w:sz w:val="24"/>
          <w:szCs w:val="24"/>
        </w:rPr>
        <w:t xml:space="preserve">do audits that did not comply with </w:t>
      </w:r>
      <w:r w:rsidR="00262A14">
        <w:rPr>
          <w:rFonts w:ascii="Verdana" w:eastAsia="Times New Roman" w:hAnsi="Verdana" w:cs="Arial"/>
          <w:sz w:val="24"/>
          <w:szCs w:val="24"/>
        </w:rPr>
        <w:t>PCAOB standards.</w:t>
      </w:r>
      <w:r w:rsidR="00A83D04">
        <w:rPr>
          <w:rFonts w:ascii="Verdana" w:eastAsia="Times New Roman" w:hAnsi="Verdana" w:cs="Arial"/>
          <w:sz w:val="24"/>
          <w:szCs w:val="24"/>
        </w:rPr>
        <w:t xml:space="preserve">  More recently, the PCAOB is increasing its CRM enforcement efforts</w:t>
      </w:r>
      <w:r w:rsidR="002F0BA6">
        <w:rPr>
          <w:rFonts w:ascii="Verdana" w:eastAsia="Times New Roman" w:hAnsi="Verdana" w:cs="Arial"/>
          <w:sz w:val="24"/>
          <w:szCs w:val="24"/>
        </w:rPr>
        <w:t xml:space="preserve"> in the US and also is pushing for permission to conduct </w:t>
      </w:r>
      <w:hyperlink r:id="rId12" w:history="1">
        <w:r w:rsidR="002F0BA6" w:rsidRPr="002F0BA6">
          <w:rPr>
            <w:rStyle w:val="Hyperlink"/>
            <w:rFonts w:ascii="Verdana" w:eastAsia="Times New Roman" w:hAnsi="Verdana" w:cs="Arial"/>
            <w:sz w:val="24"/>
            <w:szCs w:val="24"/>
          </w:rPr>
          <w:t>inspections in China</w:t>
        </w:r>
      </w:hyperlink>
      <w:r w:rsidR="002F0BA6">
        <w:rPr>
          <w:rFonts w:ascii="Verdana" w:eastAsia="Times New Roman" w:hAnsi="Verdana" w:cs="Arial"/>
          <w:sz w:val="24"/>
          <w:szCs w:val="24"/>
        </w:rPr>
        <w:t>.</w:t>
      </w:r>
    </w:p>
    <w:p w:rsidR="0090324F" w:rsidRDefault="0090324F" w:rsidP="00EE3621">
      <w:pPr>
        <w:rPr>
          <w:rFonts w:ascii="Verdana" w:eastAsia="Times New Roman" w:hAnsi="Verdana" w:cs="Arial"/>
          <w:sz w:val="24"/>
          <w:szCs w:val="24"/>
        </w:rPr>
      </w:pPr>
    </w:p>
    <w:p w:rsidR="00E62481" w:rsidRDefault="00A344D2" w:rsidP="00EE3621">
      <w:pPr>
        <w:rPr>
          <w:rFonts w:ascii="Verdana" w:eastAsia="Times New Roman" w:hAnsi="Verdana" w:cs="Arial"/>
          <w:sz w:val="24"/>
          <w:szCs w:val="24"/>
        </w:rPr>
      </w:pPr>
      <w:r>
        <w:rPr>
          <w:rFonts w:ascii="Verdana" w:eastAsia="Times New Roman" w:hAnsi="Verdana" w:cs="Arial"/>
          <w:sz w:val="24"/>
          <w:szCs w:val="24"/>
        </w:rPr>
        <w:t xml:space="preserve">The Securities Exchange Commission (SEC) followed </w:t>
      </w:r>
      <w:r w:rsidR="00BD4CB7">
        <w:rPr>
          <w:rFonts w:ascii="Verdana" w:eastAsia="Times New Roman" w:hAnsi="Verdana" w:cs="Arial"/>
          <w:sz w:val="24"/>
          <w:szCs w:val="24"/>
        </w:rPr>
        <w:t>up</w:t>
      </w:r>
      <w:r>
        <w:rPr>
          <w:rFonts w:ascii="Verdana" w:eastAsia="Times New Roman" w:hAnsi="Verdana" w:cs="Arial"/>
          <w:sz w:val="24"/>
          <w:szCs w:val="24"/>
        </w:rPr>
        <w:t xml:space="preserve"> on the PCAOB’s warning with its own </w:t>
      </w:r>
      <w:hyperlink r:id="rId13" w:history="1">
        <w:r w:rsidRPr="00A344D2">
          <w:rPr>
            <w:rStyle w:val="Hyperlink"/>
            <w:rFonts w:ascii="Verdana" w:eastAsia="Times New Roman" w:hAnsi="Verdana" w:cs="Arial"/>
            <w:sz w:val="24"/>
            <w:szCs w:val="24"/>
          </w:rPr>
          <w:t>Investor Bulletin</w:t>
        </w:r>
      </w:hyperlink>
      <w:r>
        <w:rPr>
          <w:rFonts w:ascii="Verdana" w:eastAsia="Times New Roman" w:hAnsi="Verdana" w:cs="Arial"/>
          <w:sz w:val="24"/>
          <w:szCs w:val="24"/>
        </w:rPr>
        <w:t xml:space="preserve"> on CRM</w:t>
      </w:r>
      <w:r w:rsidR="002F0BA6">
        <w:rPr>
          <w:rFonts w:ascii="Verdana" w:eastAsia="Times New Roman" w:hAnsi="Verdana" w:cs="Arial"/>
          <w:sz w:val="24"/>
          <w:szCs w:val="24"/>
        </w:rPr>
        <w:t>s</w:t>
      </w:r>
      <w:r>
        <w:rPr>
          <w:rFonts w:ascii="Verdana" w:eastAsia="Times New Roman" w:hAnsi="Verdana" w:cs="Arial"/>
          <w:sz w:val="24"/>
          <w:szCs w:val="24"/>
        </w:rPr>
        <w:t xml:space="preserve"> highlighting the lack of long-term viability for many of these companies, fraud, and bad audits.  The SEC noted that it had recently suspended trading in a number of CRM’s including </w:t>
      </w:r>
      <w:proofErr w:type="spellStart"/>
      <w:r>
        <w:rPr>
          <w:rFonts w:ascii="Verdana" w:eastAsia="Times New Roman" w:hAnsi="Verdana" w:cs="Arial"/>
          <w:sz w:val="24"/>
          <w:szCs w:val="24"/>
        </w:rPr>
        <w:t>Heli</w:t>
      </w:r>
      <w:proofErr w:type="spellEnd"/>
      <w:r>
        <w:rPr>
          <w:rFonts w:ascii="Verdana" w:eastAsia="Times New Roman" w:hAnsi="Verdana" w:cs="Arial"/>
          <w:sz w:val="24"/>
          <w:szCs w:val="24"/>
        </w:rPr>
        <w:t xml:space="preserve"> Electronics Corp., China </w:t>
      </w:r>
      <w:proofErr w:type="spellStart"/>
      <w:r>
        <w:rPr>
          <w:rFonts w:ascii="Verdana" w:eastAsia="Times New Roman" w:hAnsi="Verdana" w:cs="Arial"/>
          <w:sz w:val="24"/>
          <w:szCs w:val="24"/>
        </w:rPr>
        <w:t>Changjiang</w:t>
      </w:r>
      <w:proofErr w:type="spellEnd"/>
      <w:r>
        <w:rPr>
          <w:rFonts w:ascii="Verdana" w:eastAsia="Times New Roman" w:hAnsi="Verdana" w:cs="Arial"/>
          <w:sz w:val="24"/>
          <w:szCs w:val="24"/>
        </w:rPr>
        <w:t xml:space="preserve"> Mining &amp; New Energy Co, RINO International Corporation, Advanced Refractive Technologies, </w:t>
      </w:r>
      <w:proofErr w:type="spellStart"/>
      <w:r>
        <w:rPr>
          <w:rFonts w:ascii="Verdana" w:eastAsia="Times New Roman" w:hAnsi="Verdana" w:cs="Arial"/>
          <w:sz w:val="24"/>
          <w:szCs w:val="24"/>
        </w:rPr>
        <w:t>HiEnergy</w:t>
      </w:r>
      <w:proofErr w:type="spellEnd"/>
      <w:r>
        <w:rPr>
          <w:rFonts w:ascii="Verdana" w:eastAsia="Times New Roman" w:hAnsi="Verdana" w:cs="Arial"/>
          <w:sz w:val="24"/>
          <w:szCs w:val="24"/>
        </w:rPr>
        <w:t xml:space="preserve"> Technologies, Inc., and Digital Youth Network Corp.  And what advice did the SEC have for investors?  </w:t>
      </w:r>
    </w:p>
    <w:p w:rsidR="004E67AF" w:rsidRDefault="004E67AF" w:rsidP="00EE3621">
      <w:pPr>
        <w:rPr>
          <w:rFonts w:ascii="Verdana" w:eastAsia="Times New Roman" w:hAnsi="Verdana" w:cs="Arial"/>
          <w:sz w:val="24"/>
          <w:szCs w:val="24"/>
        </w:rPr>
      </w:pPr>
    </w:p>
    <w:p w:rsidR="004E67AF" w:rsidRDefault="004E67AF" w:rsidP="004E67AF">
      <w:pPr>
        <w:pStyle w:val="ListParagraph"/>
        <w:numPr>
          <w:ilvl w:val="0"/>
          <w:numId w:val="9"/>
        </w:numPr>
        <w:rPr>
          <w:rFonts w:ascii="Verdana" w:eastAsia="Times New Roman" w:hAnsi="Verdana" w:cs="Arial"/>
          <w:sz w:val="24"/>
          <w:szCs w:val="24"/>
        </w:rPr>
      </w:pPr>
      <w:r>
        <w:rPr>
          <w:rFonts w:ascii="Verdana" w:eastAsia="Times New Roman" w:hAnsi="Verdana" w:cs="Arial"/>
          <w:sz w:val="24"/>
          <w:szCs w:val="24"/>
        </w:rPr>
        <w:t>Research the company,</w:t>
      </w:r>
    </w:p>
    <w:p w:rsidR="004E67AF" w:rsidRDefault="004E67AF" w:rsidP="004E67AF">
      <w:pPr>
        <w:pStyle w:val="ListParagraph"/>
        <w:numPr>
          <w:ilvl w:val="0"/>
          <w:numId w:val="9"/>
        </w:numPr>
        <w:rPr>
          <w:rFonts w:ascii="Verdana" w:eastAsia="Times New Roman" w:hAnsi="Verdana" w:cs="Arial"/>
          <w:sz w:val="24"/>
          <w:szCs w:val="24"/>
        </w:rPr>
      </w:pPr>
      <w:r>
        <w:rPr>
          <w:rFonts w:ascii="Verdana" w:eastAsia="Times New Roman" w:hAnsi="Verdana" w:cs="Arial"/>
          <w:sz w:val="24"/>
          <w:szCs w:val="24"/>
        </w:rPr>
        <w:t>Review the company’s SEC filings,</w:t>
      </w:r>
    </w:p>
    <w:p w:rsidR="004E67AF" w:rsidRDefault="004E67AF" w:rsidP="004E67AF">
      <w:pPr>
        <w:pStyle w:val="ListParagraph"/>
        <w:numPr>
          <w:ilvl w:val="0"/>
          <w:numId w:val="9"/>
        </w:numPr>
        <w:rPr>
          <w:rFonts w:ascii="Verdana" w:eastAsia="Times New Roman" w:hAnsi="Verdana" w:cs="Arial"/>
          <w:sz w:val="24"/>
          <w:szCs w:val="24"/>
        </w:rPr>
      </w:pPr>
      <w:r>
        <w:rPr>
          <w:rFonts w:ascii="Verdana" w:eastAsia="Times New Roman" w:hAnsi="Verdana" w:cs="Arial"/>
          <w:sz w:val="24"/>
          <w:szCs w:val="24"/>
        </w:rPr>
        <w:t>Be aware of companies that do not file reports with the SEC, and</w:t>
      </w:r>
    </w:p>
    <w:p w:rsidR="004E67AF" w:rsidRDefault="004E67AF" w:rsidP="004E67AF">
      <w:pPr>
        <w:pStyle w:val="ListParagraph"/>
        <w:numPr>
          <w:ilvl w:val="0"/>
          <w:numId w:val="9"/>
        </w:numPr>
        <w:rPr>
          <w:rFonts w:ascii="Verdana" w:eastAsia="Times New Roman" w:hAnsi="Verdana" w:cs="Arial"/>
          <w:sz w:val="24"/>
          <w:szCs w:val="24"/>
        </w:rPr>
      </w:pPr>
      <w:r>
        <w:rPr>
          <w:rFonts w:ascii="Verdana" w:eastAsia="Times New Roman" w:hAnsi="Verdana" w:cs="Arial"/>
          <w:sz w:val="24"/>
          <w:szCs w:val="24"/>
        </w:rPr>
        <w:t>Be skeptical.</w:t>
      </w:r>
    </w:p>
    <w:p w:rsidR="004E67AF" w:rsidRDefault="004E67AF" w:rsidP="004E67AF">
      <w:pPr>
        <w:rPr>
          <w:rFonts w:ascii="Verdana" w:eastAsia="Times New Roman" w:hAnsi="Verdana" w:cs="Arial"/>
          <w:sz w:val="24"/>
          <w:szCs w:val="24"/>
        </w:rPr>
      </w:pPr>
    </w:p>
    <w:p w:rsidR="004E67AF" w:rsidRPr="004E67AF" w:rsidRDefault="004E67AF" w:rsidP="004E67AF">
      <w:pPr>
        <w:rPr>
          <w:rFonts w:ascii="Verdana" w:eastAsia="Times New Roman" w:hAnsi="Verdana" w:cs="Arial"/>
          <w:sz w:val="24"/>
          <w:szCs w:val="24"/>
        </w:rPr>
      </w:pPr>
      <w:r>
        <w:rPr>
          <w:rFonts w:ascii="Verdana" w:eastAsia="Times New Roman" w:hAnsi="Verdana" w:cs="Arial"/>
          <w:sz w:val="24"/>
          <w:szCs w:val="24"/>
        </w:rPr>
        <w:t xml:space="preserve">Duh!  These are not </w:t>
      </w:r>
      <w:r w:rsidR="002F0BA6">
        <w:rPr>
          <w:rFonts w:ascii="Verdana" w:eastAsia="Times New Roman" w:hAnsi="Verdana" w:cs="Arial"/>
          <w:sz w:val="24"/>
          <w:szCs w:val="24"/>
        </w:rPr>
        <w:t xml:space="preserve">exactly </w:t>
      </w:r>
      <w:r>
        <w:rPr>
          <w:rFonts w:ascii="Verdana" w:eastAsia="Times New Roman" w:hAnsi="Verdana" w:cs="Arial"/>
          <w:sz w:val="24"/>
          <w:szCs w:val="24"/>
        </w:rPr>
        <w:t xml:space="preserve">the most insightful recommendations are they?  </w:t>
      </w:r>
      <w:hyperlink r:id="rId14" w:history="1">
        <w:r w:rsidR="002F0BA6" w:rsidRPr="002F0BA6">
          <w:rPr>
            <w:rStyle w:val="Hyperlink"/>
            <w:rFonts w:ascii="Verdana" w:eastAsia="Times New Roman" w:hAnsi="Verdana" w:cs="Arial"/>
            <w:sz w:val="24"/>
            <w:szCs w:val="24"/>
          </w:rPr>
          <w:t>Richard Cant</w:t>
        </w:r>
      </w:hyperlink>
      <w:r w:rsidR="002F0BA6">
        <w:rPr>
          <w:rFonts w:ascii="Verdana" w:eastAsia="Times New Roman" w:hAnsi="Verdana" w:cs="Arial"/>
          <w:sz w:val="24"/>
          <w:szCs w:val="24"/>
        </w:rPr>
        <w:t xml:space="preserve"> at Integra International calls for “better” financial due diligence in his analysis of CRM fraud techniques.  But is the issue really that “better financial due diligence” is needed, or simply that </w:t>
      </w:r>
      <w:r w:rsidR="00427E14">
        <w:rPr>
          <w:rFonts w:ascii="Verdana" w:eastAsia="Times New Roman" w:hAnsi="Verdana" w:cs="Arial"/>
          <w:sz w:val="24"/>
          <w:szCs w:val="24"/>
        </w:rPr>
        <w:t xml:space="preserve">basic </w:t>
      </w:r>
      <w:r w:rsidR="002F0BA6">
        <w:rPr>
          <w:rFonts w:ascii="Verdana" w:eastAsia="Times New Roman" w:hAnsi="Verdana" w:cs="Arial"/>
          <w:sz w:val="24"/>
          <w:szCs w:val="24"/>
        </w:rPr>
        <w:t xml:space="preserve">due diligence </w:t>
      </w:r>
      <w:r w:rsidR="00427E14">
        <w:rPr>
          <w:rFonts w:ascii="Verdana" w:eastAsia="Times New Roman" w:hAnsi="Verdana" w:cs="Arial"/>
          <w:sz w:val="24"/>
          <w:szCs w:val="24"/>
        </w:rPr>
        <w:t xml:space="preserve">itself actually be performed period.  Our </w:t>
      </w:r>
      <w:r w:rsidR="00BA0AB4">
        <w:rPr>
          <w:rFonts w:ascii="Verdana" w:eastAsia="Times New Roman" w:hAnsi="Verdana" w:cs="Arial"/>
          <w:sz w:val="24"/>
          <w:szCs w:val="24"/>
        </w:rPr>
        <w:t xml:space="preserve">limited </w:t>
      </w:r>
      <w:r w:rsidR="00427E14">
        <w:rPr>
          <w:rFonts w:ascii="Verdana" w:eastAsia="Times New Roman" w:hAnsi="Verdana" w:cs="Arial"/>
          <w:sz w:val="24"/>
          <w:szCs w:val="24"/>
        </w:rPr>
        <w:t>review</w:t>
      </w:r>
      <w:r w:rsidR="002F0BA6">
        <w:rPr>
          <w:rFonts w:ascii="Verdana" w:eastAsia="Times New Roman" w:hAnsi="Verdana" w:cs="Arial"/>
          <w:sz w:val="24"/>
          <w:szCs w:val="24"/>
        </w:rPr>
        <w:t xml:space="preserve"> of one C</w:t>
      </w:r>
      <w:r w:rsidR="00427E14">
        <w:rPr>
          <w:rFonts w:ascii="Verdana" w:eastAsia="Times New Roman" w:hAnsi="Verdana" w:cs="Arial"/>
          <w:sz w:val="24"/>
          <w:szCs w:val="24"/>
        </w:rPr>
        <w:t>RM, FUQI International, a Shenzhen-based jewe</w:t>
      </w:r>
      <w:r w:rsidR="00BA0AB4">
        <w:rPr>
          <w:rFonts w:ascii="Verdana" w:eastAsia="Times New Roman" w:hAnsi="Verdana" w:cs="Arial"/>
          <w:sz w:val="24"/>
          <w:szCs w:val="24"/>
        </w:rPr>
        <w:t>lry company, suggests that investors may not be doing ANY financial analysis of Chinese companies!</w:t>
      </w:r>
      <w:r w:rsidR="00427E14">
        <w:rPr>
          <w:rFonts w:ascii="Verdana" w:eastAsia="Times New Roman" w:hAnsi="Verdana" w:cs="Arial"/>
          <w:sz w:val="24"/>
          <w:szCs w:val="24"/>
        </w:rPr>
        <w:t xml:space="preserve"> </w:t>
      </w:r>
    </w:p>
    <w:p w:rsidR="00BD4CB7" w:rsidRDefault="00BD4CB7" w:rsidP="00EE3621">
      <w:pPr>
        <w:rPr>
          <w:rFonts w:ascii="Verdana" w:eastAsia="Times New Roman" w:hAnsi="Verdana" w:cs="Arial"/>
          <w:sz w:val="24"/>
          <w:szCs w:val="24"/>
        </w:rPr>
      </w:pPr>
    </w:p>
    <w:p w:rsidR="00BD4CB7" w:rsidRDefault="00BA0AB4" w:rsidP="00EE3621">
      <w:pPr>
        <w:rPr>
          <w:rFonts w:ascii="Verdana" w:eastAsia="Times New Roman" w:hAnsi="Verdana" w:cs="Arial"/>
          <w:sz w:val="24"/>
          <w:szCs w:val="24"/>
        </w:rPr>
      </w:pPr>
      <w:r>
        <w:rPr>
          <w:rFonts w:ascii="Verdana" w:eastAsia="Times New Roman" w:hAnsi="Verdana" w:cs="Arial"/>
          <w:sz w:val="24"/>
          <w:szCs w:val="24"/>
        </w:rPr>
        <w:t xml:space="preserve">First, we looked at FUQI’s risk disclosures in its 2008 Form 10-K. This is the last complete annual report actually filed by the Company.  We found many </w:t>
      </w:r>
      <w:r>
        <w:rPr>
          <w:rFonts w:ascii="Verdana" w:eastAsia="Times New Roman" w:hAnsi="Verdana" w:cs="Arial"/>
          <w:sz w:val="24"/>
          <w:szCs w:val="24"/>
        </w:rPr>
        <w:lastRenderedPageBreak/>
        <w:t>of the risk disclosures cited by the SEC in its CRM Investor Bulletin, but one in particular stood out:</w:t>
      </w:r>
    </w:p>
    <w:p w:rsidR="00BA0AB4" w:rsidRDefault="00BA0AB4" w:rsidP="00EE3621">
      <w:pPr>
        <w:rPr>
          <w:rFonts w:ascii="Verdana" w:eastAsia="Times New Roman" w:hAnsi="Verdana" w:cs="Arial"/>
          <w:sz w:val="24"/>
          <w:szCs w:val="24"/>
        </w:rPr>
      </w:pPr>
    </w:p>
    <w:p w:rsidR="00BA0AB4" w:rsidRDefault="00BA0AB4" w:rsidP="00EE3621">
      <w:pPr>
        <w:rPr>
          <w:rFonts w:ascii="Verdana" w:eastAsia="Times New Roman" w:hAnsi="Verdana" w:cs="Arial"/>
          <w:sz w:val="24"/>
          <w:szCs w:val="24"/>
        </w:rPr>
      </w:pPr>
      <w:r w:rsidRPr="00BA0AB4">
        <w:rPr>
          <w:rFonts w:ascii="Verdana" w:eastAsia="Times New Roman" w:hAnsi="Verdana" w:cs="Arial"/>
          <w:i/>
          <w:sz w:val="24"/>
          <w:szCs w:val="24"/>
        </w:rPr>
        <w:t xml:space="preserve">PRC companies have historically not adopted a Western style of management and financial reporting concepts and practices, which includes strong corporate governance, internal controls and, computer, financial and other control systems...we may experience difficulty in establishing management, legal and financial controls, </w:t>
      </w:r>
      <w:r w:rsidRPr="007B3C1D">
        <w:rPr>
          <w:rFonts w:ascii="Verdana" w:eastAsia="Times New Roman" w:hAnsi="Verdana" w:cs="Arial"/>
          <w:b/>
          <w:i/>
          <w:sz w:val="24"/>
          <w:szCs w:val="24"/>
        </w:rPr>
        <w:t>collecting financial data and preparing financial statements, books of account and corporate records and instituting business practices that meet Western standards</w:t>
      </w:r>
      <w:r>
        <w:rPr>
          <w:rFonts w:ascii="Verdana" w:eastAsia="Times New Roman" w:hAnsi="Verdana" w:cs="Arial"/>
          <w:sz w:val="24"/>
          <w:szCs w:val="24"/>
        </w:rPr>
        <w:t xml:space="preserve"> (bold emphasis added).</w:t>
      </w:r>
    </w:p>
    <w:p w:rsidR="007B3C1D" w:rsidRDefault="007B3C1D" w:rsidP="00EE3621">
      <w:pPr>
        <w:rPr>
          <w:rFonts w:ascii="Verdana" w:eastAsia="Times New Roman" w:hAnsi="Verdana" w:cs="Arial"/>
          <w:sz w:val="24"/>
          <w:szCs w:val="24"/>
        </w:rPr>
      </w:pPr>
    </w:p>
    <w:p w:rsidR="00663105" w:rsidRDefault="007B3C1D" w:rsidP="00EE3621">
      <w:pPr>
        <w:rPr>
          <w:rFonts w:ascii="Verdana" w:eastAsia="Times New Roman" w:hAnsi="Verdana" w:cs="Arial"/>
          <w:sz w:val="24"/>
          <w:szCs w:val="24"/>
        </w:rPr>
      </w:pPr>
      <w:r>
        <w:rPr>
          <w:rFonts w:ascii="Verdana" w:eastAsia="Times New Roman" w:hAnsi="Verdana" w:cs="Arial"/>
          <w:sz w:val="24"/>
          <w:szCs w:val="24"/>
        </w:rPr>
        <w:t xml:space="preserve">Excuse us for asking the obvious, but if a company cannot keep books and records, how do you assess operating performance?  And if you can’t assess performance, how do you value it?  And if a company can’t meet “Western standards,” why should it be allowed to participate in Western capital markets?  And let’s not forget the auditors…if Chinese companies can’t keep a set of books, how can they be audited?  </w:t>
      </w:r>
    </w:p>
    <w:p w:rsidR="00663105" w:rsidRDefault="00663105" w:rsidP="00EE3621">
      <w:pPr>
        <w:rPr>
          <w:rFonts w:ascii="Verdana" w:eastAsia="Times New Roman" w:hAnsi="Verdana" w:cs="Arial"/>
          <w:sz w:val="24"/>
          <w:szCs w:val="24"/>
        </w:rPr>
      </w:pPr>
    </w:p>
    <w:p w:rsidR="00663105" w:rsidRDefault="007B3C1D" w:rsidP="00EE3621">
      <w:pPr>
        <w:rPr>
          <w:rFonts w:ascii="Verdana" w:eastAsia="Times New Roman" w:hAnsi="Verdana" w:cs="Arial"/>
          <w:sz w:val="24"/>
          <w:szCs w:val="24"/>
        </w:rPr>
      </w:pPr>
      <w:r>
        <w:rPr>
          <w:rFonts w:ascii="Verdana" w:eastAsia="Times New Roman" w:hAnsi="Verdana" w:cs="Arial"/>
          <w:sz w:val="24"/>
          <w:szCs w:val="24"/>
        </w:rPr>
        <w:t>What exactly are we missing here?  The very fact that these significant</w:t>
      </w:r>
      <w:r w:rsidR="00663105">
        <w:rPr>
          <w:rFonts w:ascii="Verdana" w:eastAsia="Times New Roman" w:hAnsi="Verdana" w:cs="Arial"/>
          <w:sz w:val="24"/>
          <w:szCs w:val="24"/>
        </w:rPr>
        <w:t xml:space="preserve"> issues are being overlooked suggests that the markets are practicing impaired investing when it comes to Chinese companies. They are drunk with the promise of a large new, customer pool with changing consumer preferences and a growing retail market, that portends increased profit potential (if only it were truly measurable).</w:t>
      </w:r>
    </w:p>
    <w:p w:rsidR="00663105" w:rsidRDefault="00663105" w:rsidP="00EE3621">
      <w:pPr>
        <w:rPr>
          <w:rFonts w:ascii="Verdana" w:eastAsia="Times New Roman" w:hAnsi="Verdana" w:cs="Arial"/>
          <w:sz w:val="24"/>
          <w:szCs w:val="24"/>
        </w:rPr>
      </w:pPr>
    </w:p>
    <w:p w:rsidR="00663105" w:rsidRDefault="00663105" w:rsidP="00EE3621">
      <w:pPr>
        <w:rPr>
          <w:rFonts w:ascii="Verdana" w:eastAsia="Times New Roman" w:hAnsi="Verdana" w:cs="Arial"/>
          <w:sz w:val="24"/>
          <w:szCs w:val="24"/>
        </w:rPr>
      </w:pPr>
      <w:r>
        <w:rPr>
          <w:rFonts w:ascii="Verdana" w:eastAsia="Times New Roman" w:hAnsi="Verdana" w:cs="Arial"/>
          <w:sz w:val="24"/>
          <w:szCs w:val="24"/>
        </w:rPr>
        <w:t xml:space="preserve">And what </w:t>
      </w:r>
      <w:r w:rsidR="004073D6">
        <w:rPr>
          <w:rFonts w:ascii="Verdana" w:eastAsia="Times New Roman" w:hAnsi="Verdana" w:cs="Arial"/>
          <w:sz w:val="24"/>
          <w:szCs w:val="24"/>
        </w:rPr>
        <w:t xml:space="preserve">an accounting blog be without a few numbers?  We decided to see how FUQI stacked up on the earnings manipulation issue using the </w:t>
      </w:r>
      <w:hyperlink r:id="rId15" w:anchor="axzz1iyFZX5RK" w:history="1">
        <w:proofErr w:type="spellStart"/>
        <w:r w:rsidR="004073D6" w:rsidRPr="004073D6">
          <w:rPr>
            <w:rStyle w:val="Hyperlink"/>
            <w:rFonts w:ascii="Verdana" w:eastAsia="Times New Roman" w:hAnsi="Verdana" w:cs="Arial"/>
            <w:sz w:val="24"/>
            <w:szCs w:val="24"/>
          </w:rPr>
          <w:t>Beneish</w:t>
        </w:r>
        <w:proofErr w:type="spellEnd"/>
        <w:r w:rsidR="004073D6" w:rsidRPr="004073D6">
          <w:rPr>
            <w:rStyle w:val="Hyperlink"/>
            <w:rFonts w:ascii="Verdana" w:eastAsia="Times New Roman" w:hAnsi="Verdana" w:cs="Arial"/>
            <w:sz w:val="24"/>
            <w:szCs w:val="24"/>
          </w:rPr>
          <w:t xml:space="preserve"> Model.</w:t>
        </w:r>
      </w:hyperlink>
      <w:r w:rsidR="004073D6">
        <w:rPr>
          <w:rFonts w:ascii="Verdana" w:eastAsia="Times New Roman" w:hAnsi="Verdana" w:cs="Arial"/>
          <w:sz w:val="24"/>
          <w:szCs w:val="24"/>
        </w:rPr>
        <w:t xml:space="preserve">  Not surprisingly, the probability of earnings manipulation soared from 1.22 percent in 2006 shortly after the its reverse merger was consummated to 100 percent at the end of 2008.</w:t>
      </w:r>
    </w:p>
    <w:p w:rsidR="00663105" w:rsidRDefault="00663105" w:rsidP="00EE3621">
      <w:pPr>
        <w:rPr>
          <w:rFonts w:ascii="Verdana" w:eastAsia="Times New Roman" w:hAnsi="Verdana" w:cs="Arial"/>
          <w:sz w:val="24"/>
          <w:szCs w:val="24"/>
        </w:rPr>
      </w:pPr>
    </w:p>
    <w:p w:rsidR="00663105" w:rsidRDefault="00663105" w:rsidP="00EE3621">
      <w:pPr>
        <w:rPr>
          <w:rFonts w:ascii="Verdana" w:eastAsia="Times New Roman" w:hAnsi="Verdana"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1350"/>
        <w:gridCol w:w="1350"/>
        <w:gridCol w:w="1350"/>
      </w:tblGrid>
      <w:tr w:rsidR="004073D6" w:rsidRPr="004073D6" w:rsidTr="004073D6">
        <w:trPr>
          <w:trHeight w:val="247"/>
        </w:trPr>
        <w:tc>
          <w:tcPr>
            <w:tcW w:w="396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r w:rsidRPr="004073D6">
              <w:rPr>
                <w:rFonts w:ascii="Arial" w:hAnsi="Arial" w:cs="Arial"/>
                <w:b/>
                <w:bCs/>
                <w:color w:val="000000"/>
                <w:sz w:val="20"/>
                <w:szCs w:val="20"/>
                <w:lang w:eastAsia="zh-CN"/>
              </w:rPr>
              <w:t>Weighted Predictor Ratios</w:t>
            </w:r>
          </w:p>
        </w:tc>
        <w:tc>
          <w:tcPr>
            <w:tcW w:w="1350" w:type="dxa"/>
          </w:tcPr>
          <w:p w:rsidR="004073D6" w:rsidRPr="004073D6" w:rsidRDefault="004073D6" w:rsidP="004073D6">
            <w:pPr>
              <w:autoSpaceDE w:val="0"/>
              <w:autoSpaceDN w:val="0"/>
              <w:adjustRightInd w:val="0"/>
              <w:jc w:val="center"/>
              <w:rPr>
                <w:rFonts w:ascii="Arial" w:hAnsi="Arial" w:cs="Arial"/>
                <w:b/>
                <w:bCs/>
                <w:color w:val="000000"/>
                <w:sz w:val="20"/>
                <w:szCs w:val="20"/>
                <w:lang w:eastAsia="zh-CN"/>
              </w:rPr>
            </w:pPr>
            <w:r w:rsidRPr="004073D6">
              <w:rPr>
                <w:rFonts w:ascii="Arial" w:hAnsi="Arial" w:cs="Arial"/>
                <w:b/>
                <w:bCs/>
                <w:color w:val="000000"/>
                <w:sz w:val="20"/>
                <w:szCs w:val="20"/>
                <w:lang w:eastAsia="zh-CN"/>
              </w:rPr>
              <w:t>2006</w:t>
            </w:r>
          </w:p>
        </w:tc>
        <w:tc>
          <w:tcPr>
            <w:tcW w:w="1350" w:type="dxa"/>
          </w:tcPr>
          <w:p w:rsidR="004073D6" w:rsidRPr="004073D6" w:rsidRDefault="004073D6" w:rsidP="004073D6">
            <w:pPr>
              <w:autoSpaceDE w:val="0"/>
              <w:autoSpaceDN w:val="0"/>
              <w:adjustRightInd w:val="0"/>
              <w:jc w:val="center"/>
              <w:rPr>
                <w:rFonts w:ascii="Arial" w:hAnsi="Arial" w:cs="Arial"/>
                <w:b/>
                <w:bCs/>
                <w:color w:val="000000"/>
                <w:sz w:val="20"/>
                <w:szCs w:val="20"/>
                <w:lang w:eastAsia="zh-CN"/>
              </w:rPr>
            </w:pPr>
            <w:r w:rsidRPr="004073D6">
              <w:rPr>
                <w:rFonts w:ascii="Arial" w:hAnsi="Arial" w:cs="Arial"/>
                <w:b/>
                <w:bCs/>
                <w:color w:val="000000"/>
                <w:sz w:val="20"/>
                <w:szCs w:val="20"/>
                <w:lang w:eastAsia="zh-CN"/>
              </w:rPr>
              <w:t>2007</w:t>
            </w:r>
          </w:p>
        </w:tc>
        <w:tc>
          <w:tcPr>
            <w:tcW w:w="1350" w:type="dxa"/>
          </w:tcPr>
          <w:p w:rsidR="004073D6" w:rsidRPr="004073D6" w:rsidRDefault="004073D6" w:rsidP="004073D6">
            <w:pPr>
              <w:autoSpaceDE w:val="0"/>
              <w:autoSpaceDN w:val="0"/>
              <w:adjustRightInd w:val="0"/>
              <w:jc w:val="center"/>
              <w:rPr>
                <w:rFonts w:ascii="Arial" w:hAnsi="Arial" w:cs="Arial"/>
                <w:b/>
                <w:bCs/>
                <w:color w:val="000000"/>
                <w:sz w:val="20"/>
                <w:szCs w:val="20"/>
                <w:lang w:eastAsia="zh-CN"/>
              </w:rPr>
            </w:pPr>
            <w:r w:rsidRPr="004073D6">
              <w:rPr>
                <w:rFonts w:ascii="Arial" w:hAnsi="Arial" w:cs="Arial"/>
                <w:b/>
                <w:bCs/>
                <w:color w:val="000000"/>
                <w:sz w:val="20"/>
                <w:szCs w:val="20"/>
                <w:lang w:eastAsia="zh-CN"/>
              </w:rPr>
              <w:t>2008</w:t>
            </w:r>
          </w:p>
        </w:tc>
      </w:tr>
      <w:tr w:rsidR="004073D6" w:rsidRPr="004073D6" w:rsidTr="004073D6">
        <w:trPr>
          <w:trHeight w:val="247"/>
        </w:trPr>
        <w:tc>
          <w:tcPr>
            <w:tcW w:w="396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p>
        </w:tc>
        <w:tc>
          <w:tcPr>
            <w:tcW w:w="135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p>
        </w:tc>
        <w:tc>
          <w:tcPr>
            <w:tcW w:w="135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p>
        </w:tc>
        <w:tc>
          <w:tcPr>
            <w:tcW w:w="135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p>
        </w:tc>
      </w:tr>
      <w:tr w:rsidR="004073D6" w:rsidRPr="004073D6" w:rsidTr="004073D6">
        <w:trPr>
          <w:trHeight w:val="247"/>
        </w:trPr>
        <w:tc>
          <w:tcPr>
            <w:tcW w:w="396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r w:rsidRPr="004073D6">
              <w:rPr>
                <w:rFonts w:ascii="Arial" w:hAnsi="Arial" w:cs="Arial"/>
                <w:b/>
                <w:bCs/>
                <w:color w:val="000000"/>
                <w:sz w:val="20"/>
                <w:szCs w:val="20"/>
                <w:lang w:eastAsia="zh-CN"/>
              </w:rPr>
              <w:t>Days Receivables Index</w:t>
            </w:r>
          </w:p>
        </w:tc>
        <w:tc>
          <w:tcPr>
            <w:tcW w:w="135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r w:rsidRPr="004073D6">
              <w:rPr>
                <w:rFonts w:ascii="Arial" w:hAnsi="Arial" w:cs="Arial"/>
                <w:b/>
                <w:bCs/>
                <w:color w:val="000000"/>
                <w:sz w:val="20"/>
                <w:szCs w:val="20"/>
                <w:lang w:eastAsia="zh-CN"/>
              </w:rPr>
              <w:t>0.387888</w:t>
            </w:r>
          </w:p>
        </w:tc>
        <w:tc>
          <w:tcPr>
            <w:tcW w:w="135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r w:rsidRPr="004073D6">
              <w:rPr>
                <w:rFonts w:ascii="Arial" w:hAnsi="Arial" w:cs="Arial"/>
                <w:b/>
                <w:bCs/>
                <w:color w:val="000000"/>
                <w:sz w:val="20"/>
                <w:szCs w:val="20"/>
                <w:lang w:eastAsia="zh-CN"/>
              </w:rPr>
              <w:t>1.619159</w:t>
            </w:r>
          </w:p>
        </w:tc>
        <w:tc>
          <w:tcPr>
            <w:tcW w:w="135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r w:rsidRPr="004073D6">
              <w:rPr>
                <w:rFonts w:ascii="Arial" w:hAnsi="Arial" w:cs="Arial"/>
                <w:b/>
                <w:bCs/>
                <w:color w:val="000000"/>
                <w:sz w:val="20"/>
                <w:szCs w:val="20"/>
                <w:lang w:eastAsia="zh-CN"/>
              </w:rPr>
              <w:t>1.068192</w:t>
            </w:r>
          </w:p>
        </w:tc>
      </w:tr>
      <w:tr w:rsidR="004073D6" w:rsidRPr="004073D6" w:rsidTr="004073D6">
        <w:trPr>
          <w:trHeight w:val="247"/>
        </w:trPr>
        <w:tc>
          <w:tcPr>
            <w:tcW w:w="396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r w:rsidRPr="004073D6">
              <w:rPr>
                <w:rFonts w:ascii="Arial" w:hAnsi="Arial" w:cs="Arial"/>
                <w:b/>
                <w:bCs/>
                <w:color w:val="000000"/>
                <w:sz w:val="20"/>
                <w:szCs w:val="20"/>
                <w:lang w:eastAsia="zh-CN"/>
              </w:rPr>
              <w:t>Gross Margin Index</w:t>
            </w:r>
          </w:p>
        </w:tc>
        <w:tc>
          <w:tcPr>
            <w:tcW w:w="135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r w:rsidRPr="004073D6">
              <w:rPr>
                <w:rFonts w:ascii="Arial" w:hAnsi="Arial" w:cs="Arial"/>
                <w:b/>
                <w:bCs/>
                <w:color w:val="000000"/>
                <w:sz w:val="20"/>
                <w:szCs w:val="20"/>
                <w:lang w:eastAsia="zh-CN"/>
              </w:rPr>
              <w:t>0.579196</w:t>
            </w:r>
          </w:p>
        </w:tc>
        <w:tc>
          <w:tcPr>
            <w:tcW w:w="135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r w:rsidRPr="004073D6">
              <w:rPr>
                <w:rFonts w:ascii="Arial" w:hAnsi="Arial" w:cs="Arial"/>
                <w:b/>
                <w:bCs/>
                <w:color w:val="000000"/>
                <w:sz w:val="20"/>
                <w:szCs w:val="20"/>
                <w:lang w:eastAsia="zh-CN"/>
              </w:rPr>
              <w:t>0.450239</w:t>
            </w:r>
          </w:p>
        </w:tc>
        <w:tc>
          <w:tcPr>
            <w:tcW w:w="135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r w:rsidRPr="004073D6">
              <w:rPr>
                <w:rFonts w:ascii="Arial" w:hAnsi="Arial" w:cs="Arial"/>
                <w:b/>
                <w:bCs/>
                <w:color w:val="000000"/>
                <w:sz w:val="20"/>
                <w:szCs w:val="20"/>
                <w:lang w:eastAsia="zh-CN"/>
              </w:rPr>
              <w:t>0.492309</w:t>
            </w:r>
          </w:p>
        </w:tc>
      </w:tr>
      <w:tr w:rsidR="004073D6" w:rsidRPr="004073D6" w:rsidTr="004073D6">
        <w:trPr>
          <w:trHeight w:val="247"/>
        </w:trPr>
        <w:tc>
          <w:tcPr>
            <w:tcW w:w="396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r w:rsidRPr="004073D6">
              <w:rPr>
                <w:rFonts w:ascii="Arial" w:hAnsi="Arial" w:cs="Arial"/>
                <w:b/>
                <w:bCs/>
                <w:color w:val="000000"/>
                <w:sz w:val="20"/>
                <w:szCs w:val="20"/>
                <w:lang w:eastAsia="zh-CN"/>
              </w:rPr>
              <w:t>Asset Quality Index</w:t>
            </w:r>
          </w:p>
        </w:tc>
        <w:tc>
          <w:tcPr>
            <w:tcW w:w="135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r w:rsidRPr="004073D6">
              <w:rPr>
                <w:rFonts w:ascii="Arial" w:hAnsi="Arial" w:cs="Arial"/>
                <w:b/>
                <w:bCs/>
                <w:color w:val="000000"/>
                <w:sz w:val="20"/>
                <w:szCs w:val="20"/>
                <w:lang w:eastAsia="zh-CN"/>
              </w:rPr>
              <w:t>0.569118</w:t>
            </w:r>
          </w:p>
        </w:tc>
        <w:tc>
          <w:tcPr>
            <w:tcW w:w="135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r w:rsidRPr="004073D6">
              <w:rPr>
                <w:rFonts w:ascii="Arial" w:hAnsi="Arial" w:cs="Arial"/>
                <w:b/>
                <w:bCs/>
                <w:color w:val="000000"/>
                <w:sz w:val="20"/>
                <w:szCs w:val="20"/>
                <w:lang w:eastAsia="zh-CN"/>
              </w:rPr>
              <w:t>0.10638</w:t>
            </w:r>
          </w:p>
        </w:tc>
        <w:tc>
          <w:tcPr>
            <w:tcW w:w="135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r w:rsidRPr="004073D6">
              <w:rPr>
                <w:rFonts w:ascii="Arial" w:hAnsi="Arial" w:cs="Arial"/>
                <w:b/>
                <w:bCs/>
                <w:color w:val="000000"/>
                <w:sz w:val="20"/>
                <w:szCs w:val="20"/>
                <w:lang w:eastAsia="zh-CN"/>
              </w:rPr>
              <w:t>7.530223</w:t>
            </w:r>
          </w:p>
        </w:tc>
      </w:tr>
      <w:tr w:rsidR="004073D6" w:rsidRPr="004073D6" w:rsidTr="004073D6">
        <w:trPr>
          <w:trHeight w:val="247"/>
        </w:trPr>
        <w:tc>
          <w:tcPr>
            <w:tcW w:w="396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r w:rsidRPr="004073D6">
              <w:rPr>
                <w:rFonts w:ascii="Arial" w:hAnsi="Arial" w:cs="Arial"/>
                <w:b/>
                <w:bCs/>
                <w:color w:val="000000"/>
                <w:sz w:val="20"/>
                <w:szCs w:val="20"/>
                <w:lang w:eastAsia="zh-CN"/>
              </w:rPr>
              <w:t>Sales Growth Index</w:t>
            </w:r>
          </w:p>
        </w:tc>
        <w:tc>
          <w:tcPr>
            <w:tcW w:w="135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r w:rsidRPr="004073D6">
              <w:rPr>
                <w:rFonts w:ascii="Arial" w:hAnsi="Arial" w:cs="Arial"/>
                <w:b/>
                <w:bCs/>
                <w:color w:val="000000"/>
                <w:sz w:val="20"/>
                <w:szCs w:val="20"/>
                <w:lang w:eastAsia="zh-CN"/>
              </w:rPr>
              <w:t>1.135696</w:t>
            </w:r>
          </w:p>
        </w:tc>
        <w:tc>
          <w:tcPr>
            <w:tcW w:w="135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r w:rsidRPr="004073D6">
              <w:rPr>
                <w:rFonts w:ascii="Arial" w:hAnsi="Arial" w:cs="Arial"/>
                <w:b/>
                <w:bCs/>
                <w:color w:val="000000"/>
                <w:sz w:val="20"/>
                <w:szCs w:val="20"/>
                <w:lang w:eastAsia="zh-CN"/>
              </w:rPr>
              <w:t>1.405043</w:t>
            </w:r>
          </w:p>
        </w:tc>
        <w:tc>
          <w:tcPr>
            <w:tcW w:w="135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r w:rsidRPr="004073D6">
              <w:rPr>
                <w:rFonts w:ascii="Arial" w:hAnsi="Arial" w:cs="Arial"/>
                <w:b/>
                <w:bCs/>
                <w:color w:val="000000"/>
                <w:sz w:val="20"/>
                <w:szCs w:val="20"/>
                <w:lang w:eastAsia="zh-CN"/>
              </w:rPr>
              <w:t>2.252726</w:t>
            </w:r>
          </w:p>
        </w:tc>
      </w:tr>
      <w:tr w:rsidR="004073D6" w:rsidRPr="004073D6" w:rsidTr="004073D6">
        <w:trPr>
          <w:trHeight w:val="247"/>
        </w:trPr>
        <w:tc>
          <w:tcPr>
            <w:tcW w:w="396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r w:rsidRPr="004073D6">
              <w:rPr>
                <w:rFonts w:ascii="Arial" w:hAnsi="Arial" w:cs="Arial"/>
                <w:b/>
                <w:bCs/>
                <w:color w:val="000000"/>
                <w:sz w:val="20"/>
                <w:szCs w:val="20"/>
                <w:lang w:eastAsia="zh-CN"/>
              </w:rPr>
              <w:t>Depreciation Index</w:t>
            </w:r>
          </w:p>
        </w:tc>
        <w:tc>
          <w:tcPr>
            <w:tcW w:w="135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r w:rsidRPr="004073D6">
              <w:rPr>
                <w:rFonts w:ascii="Arial" w:hAnsi="Arial" w:cs="Arial"/>
                <w:b/>
                <w:bCs/>
                <w:color w:val="000000"/>
                <w:sz w:val="20"/>
                <w:szCs w:val="20"/>
                <w:lang w:eastAsia="zh-CN"/>
              </w:rPr>
              <w:t>0.079155</w:t>
            </w:r>
          </w:p>
        </w:tc>
        <w:tc>
          <w:tcPr>
            <w:tcW w:w="135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r w:rsidRPr="004073D6">
              <w:rPr>
                <w:rFonts w:ascii="Arial" w:hAnsi="Arial" w:cs="Arial"/>
                <w:b/>
                <w:bCs/>
                <w:color w:val="000000"/>
                <w:sz w:val="20"/>
                <w:szCs w:val="20"/>
                <w:lang w:eastAsia="zh-CN"/>
              </w:rPr>
              <w:t>0.124714</w:t>
            </w:r>
          </w:p>
        </w:tc>
        <w:tc>
          <w:tcPr>
            <w:tcW w:w="135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r w:rsidRPr="004073D6">
              <w:rPr>
                <w:rFonts w:ascii="Arial" w:hAnsi="Arial" w:cs="Arial"/>
                <w:b/>
                <w:bCs/>
                <w:color w:val="000000"/>
                <w:sz w:val="20"/>
                <w:szCs w:val="20"/>
                <w:lang w:eastAsia="zh-CN"/>
              </w:rPr>
              <w:t>0.133419</w:t>
            </w:r>
          </w:p>
        </w:tc>
      </w:tr>
      <w:tr w:rsidR="004073D6" w:rsidRPr="004073D6" w:rsidTr="004073D6">
        <w:trPr>
          <w:trHeight w:val="247"/>
        </w:trPr>
        <w:tc>
          <w:tcPr>
            <w:tcW w:w="396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r w:rsidRPr="004073D6">
              <w:rPr>
                <w:rFonts w:ascii="Arial" w:hAnsi="Arial" w:cs="Arial"/>
                <w:b/>
                <w:bCs/>
                <w:color w:val="000000"/>
                <w:sz w:val="20"/>
                <w:szCs w:val="20"/>
                <w:lang w:eastAsia="zh-CN"/>
              </w:rPr>
              <w:t>Sell. &amp; Admin. Exp. Index</w:t>
            </w:r>
          </w:p>
        </w:tc>
        <w:tc>
          <w:tcPr>
            <w:tcW w:w="135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r w:rsidRPr="004073D6">
              <w:rPr>
                <w:rFonts w:ascii="Arial" w:hAnsi="Arial" w:cs="Arial"/>
                <w:b/>
                <w:bCs/>
                <w:color w:val="000000"/>
                <w:sz w:val="20"/>
                <w:szCs w:val="20"/>
                <w:lang w:eastAsia="zh-CN"/>
              </w:rPr>
              <w:t>-0.133945</w:t>
            </w:r>
          </w:p>
        </w:tc>
        <w:tc>
          <w:tcPr>
            <w:tcW w:w="135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r w:rsidRPr="004073D6">
              <w:rPr>
                <w:rFonts w:ascii="Arial" w:hAnsi="Arial" w:cs="Arial"/>
                <w:b/>
                <w:bCs/>
                <w:color w:val="000000"/>
                <w:sz w:val="20"/>
                <w:szCs w:val="20"/>
                <w:lang w:eastAsia="zh-CN"/>
              </w:rPr>
              <w:t>-0.342213</w:t>
            </w:r>
          </w:p>
        </w:tc>
        <w:tc>
          <w:tcPr>
            <w:tcW w:w="135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r w:rsidRPr="004073D6">
              <w:rPr>
                <w:rFonts w:ascii="Arial" w:hAnsi="Arial" w:cs="Arial"/>
                <w:b/>
                <w:bCs/>
                <w:color w:val="000000"/>
                <w:sz w:val="20"/>
                <w:szCs w:val="20"/>
                <w:lang w:eastAsia="zh-CN"/>
              </w:rPr>
              <w:t>-0.196769</w:t>
            </w:r>
          </w:p>
        </w:tc>
      </w:tr>
      <w:tr w:rsidR="004073D6" w:rsidRPr="004073D6" w:rsidTr="004073D6">
        <w:trPr>
          <w:trHeight w:val="247"/>
        </w:trPr>
        <w:tc>
          <w:tcPr>
            <w:tcW w:w="396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r w:rsidRPr="004073D6">
              <w:rPr>
                <w:rFonts w:ascii="Arial" w:hAnsi="Arial" w:cs="Arial"/>
                <w:b/>
                <w:bCs/>
                <w:color w:val="000000"/>
                <w:sz w:val="20"/>
                <w:szCs w:val="20"/>
                <w:lang w:eastAsia="zh-CN"/>
              </w:rPr>
              <w:t>Leverage Index</w:t>
            </w:r>
          </w:p>
        </w:tc>
        <w:tc>
          <w:tcPr>
            <w:tcW w:w="135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r w:rsidRPr="004073D6">
              <w:rPr>
                <w:rFonts w:ascii="Arial" w:hAnsi="Arial" w:cs="Arial"/>
                <w:b/>
                <w:bCs/>
                <w:color w:val="000000"/>
                <w:sz w:val="20"/>
                <w:szCs w:val="20"/>
                <w:lang w:eastAsia="zh-CN"/>
              </w:rPr>
              <w:t>-0.290653</w:t>
            </w:r>
          </w:p>
        </w:tc>
        <w:tc>
          <w:tcPr>
            <w:tcW w:w="135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r w:rsidRPr="004073D6">
              <w:rPr>
                <w:rFonts w:ascii="Arial" w:hAnsi="Arial" w:cs="Arial"/>
                <w:b/>
                <w:bCs/>
                <w:color w:val="000000"/>
                <w:sz w:val="20"/>
                <w:szCs w:val="20"/>
                <w:lang w:eastAsia="zh-CN"/>
              </w:rPr>
              <w:t>-0.104619</w:t>
            </w:r>
          </w:p>
        </w:tc>
        <w:tc>
          <w:tcPr>
            <w:tcW w:w="135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r w:rsidRPr="004073D6">
              <w:rPr>
                <w:rFonts w:ascii="Arial" w:hAnsi="Arial" w:cs="Arial"/>
                <w:b/>
                <w:bCs/>
                <w:color w:val="000000"/>
                <w:sz w:val="20"/>
                <w:szCs w:val="20"/>
                <w:lang w:eastAsia="zh-CN"/>
              </w:rPr>
              <w:t>-0.469409</w:t>
            </w:r>
          </w:p>
        </w:tc>
      </w:tr>
      <w:tr w:rsidR="004073D6" w:rsidRPr="004073D6" w:rsidTr="004073D6">
        <w:trPr>
          <w:trHeight w:val="247"/>
        </w:trPr>
        <w:tc>
          <w:tcPr>
            <w:tcW w:w="396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r w:rsidRPr="004073D6">
              <w:rPr>
                <w:rFonts w:ascii="Arial" w:hAnsi="Arial" w:cs="Arial"/>
                <w:b/>
                <w:bCs/>
                <w:color w:val="000000"/>
                <w:sz w:val="20"/>
                <w:szCs w:val="20"/>
                <w:lang w:eastAsia="zh-CN"/>
              </w:rPr>
              <w:t>Total Accruals/Total Assets</w:t>
            </w:r>
          </w:p>
        </w:tc>
        <w:tc>
          <w:tcPr>
            <w:tcW w:w="135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r w:rsidRPr="004073D6">
              <w:rPr>
                <w:rFonts w:ascii="Arial" w:hAnsi="Arial" w:cs="Arial"/>
                <w:b/>
                <w:bCs/>
                <w:color w:val="000000"/>
                <w:sz w:val="20"/>
                <w:szCs w:val="20"/>
                <w:lang w:eastAsia="zh-CN"/>
              </w:rPr>
              <w:t>0.264129</w:t>
            </w:r>
          </w:p>
        </w:tc>
        <w:tc>
          <w:tcPr>
            <w:tcW w:w="135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r w:rsidRPr="004073D6">
              <w:rPr>
                <w:rFonts w:ascii="Arial" w:hAnsi="Arial" w:cs="Arial"/>
                <w:b/>
                <w:bCs/>
                <w:color w:val="000000"/>
                <w:sz w:val="20"/>
                <w:szCs w:val="20"/>
                <w:lang w:eastAsia="zh-CN"/>
              </w:rPr>
              <w:t>1.344162</w:t>
            </w:r>
          </w:p>
        </w:tc>
        <w:tc>
          <w:tcPr>
            <w:tcW w:w="135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r w:rsidRPr="004073D6">
              <w:rPr>
                <w:rFonts w:ascii="Arial" w:hAnsi="Arial" w:cs="Arial"/>
                <w:b/>
                <w:bCs/>
                <w:color w:val="000000"/>
                <w:sz w:val="20"/>
                <w:szCs w:val="20"/>
                <w:lang w:eastAsia="zh-CN"/>
              </w:rPr>
              <w:t>0.860571</w:t>
            </w:r>
          </w:p>
        </w:tc>
      </w:tr>
      <w:tr w:rsidR="004073D6" w:rsidRPr="004073D6" w:rsidTr="004073D6">
        <w:trPr>
          <w:trHeight w:val="247"/>
        </w:trPr>
        <w:tc>
          <w:tcPr>
            <w:tcW w:w="396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r w:rsidRPr="004073D6">
              <w:rPr>
                <w:rFonts w:ascii="Arial" w:hAnsi="Arial" w:cs="Arial"/>
                <w:b/>
                <w:bCs/>
                <w:color w:val="000000"/>
                <w:sz w:val="20"/>
                <w:szCs w:val="20"/>
                <w:lang w:eastAsia="zh-CN"/>
              </w:rPr>
              <w:t>Constant</w:t>
            </w:r>
          </w:p>
        </w:tc>
        <w:tc>
          <w:tcPr>
            <w:tcW w:w="135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r w:rsidRPr="004073D6">
              <w:rPr>
                <w:rFonts w:ascii="Arial" w:hAnsi="Arial" w:cs="Arial"/>
                <w:b/>
                <w:bCs/>
                <w:color w:val="000000"/>
                <w:sz w:val="20"/>
                <w:szCs w:val="20"/>
                <w:lang w:eastAsia="zh-CN"/>
              </w:rPr>
              <w:t>-4.84</w:t>
            </w:r>
          </w:p>
        </w:tc>
        <w:tc>
          <w:tcPr>
            <w:tcW w:w="135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r w:rsidRPr="004073D6">
              <w:rPr>
                <w:rFonts w:ascii="Arial" w:hAnsi="Arial" w:cs="Arial"/>
                <w:b/>
                <w:bCs/>
                <w:color w:val="000000"/>
                <w:sz w:val="20"/>
                <w:szCs w:val="20"/>
                <w:lang w:eastAsia="zh-CN"/>
              </w:rPr>
              <w:t>-4.84</w:t>
            </w:r>
          </w:p>
        </w:tc>
        <w:tc>
          <w:tcPr>
            <w:tcW w:w="135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r w:rsidRPr="004073D6">
              <w:rPr>
                <w:rFonts w:ascii="Arial" w:hAnsi="Arial" w:cs="Arial"/>
                <w:b/>
                <w:bCs/>
                <w:color w:val="000000"/>
                <w:sz w:val="20"/>
                <w:szCs w:val="20"/>
                <w:lang w:eastAsia="zh-CN"/>
              </w:rPr>
              <w:t>-4.84</w:t>
            </w:r>
          </w:p>
        </w:tc>
      </w:tr>
      <w:tr w:rsidR="004073D6" w:rsidRPr="004073D6" w:rsidTr="004073D6">
        <w:trPr>
          <w:trHeight w:val="247"/>
        </w:trPr>
        <w:tc>
          <w:tcPr>
            <w:tcW w:w="396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r w:rsidRPr="004073D6">
              <w:rPr>
                <w:rFonts w:ascii="Arial" w:hAnsi="Arial" w:cs="Arial"/>
                <w:b/>
                <w:bCs/>
                <w:color w:val="000000"/>
                <w:sz w:val="20"/>
                <w:szCs w:val="20"/>
                <w:lang w:eastAsia="zh-CN"/>
              </w:rPr>
              <w:t>Value of y</w:t>
            </w:r>
          </w:p>
        </w:tc>
        <w:tc>
          <w:tcPr>
            <w:tcW w:w="135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r w:rsidRPr="004073D6">
              <w:rPr>
                <w:rFonts w:ascii="Arial" w:hAnsi="Arial" w:cs="Arial"/>
                <w:b/>
                <w:bCs/>
                <w:color w:val="000000"/>
                <w:sz w:val="20"/>
                <w:szCs w:val="20"/>
                <w:lang w:eastAsia="zh-CN"/>
              </w:rPr>
              <w:t>-2.249417</w:t>
            </w:r>
          </w:p>
        </w:tc>
        <w:tc>
          <w:tcPr>
            <w:tcW w:w="135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r w:rsidRPr="004073D6">
              <w:rPr>
                <w:rFonts w:ascii="Arial" w:hAnsi="Arial" w:cs="Arial"/>
                <w:b/>
                <w:bCs/>
                <w:color w:val="000000"/>
                <w:sz w:val="20"/>
                <w:szCs w:val="20"/>
                <w:lang w:eastAsia="zh-CN"/>
              </w:rPr>
              <w:t>-0.237135</w:t>
            </w:r>
          </w:p>
        </w:tc>
        <w:tc>
          <w:tcPr>
            <w:tcW w:w="135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r w:rsidRPr="004073D6">
              <w:rPr>
                <w:rFonts w:ascii="Arial" w:hAnsi="Arial" w:cs="Arial"/>
                <w:b/>
                <w:bCs/>
                <w:color w:val="000000"/>
                <w:sz w:val="20"/>
                <w:szCs w:val="20"/>
                <w:lang w:eastAsia="zh-CN"/>
              </w:rPr>
              <w:t>6.831261</w:t>
            </w:r>
          </w:p>
        </w:tc>
      </w:tr>
      <w:tr w:rsidR="004073D6" w:rsidRPr="004073D6" w:rsidTr="004073D6">
        <w:trPr>
          <w:trHeight w:val="247"/>
        </w:trPr>
        <w:tc>
          <w:tcPr>
            <w:tcW w:w="396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p>
        </w:tc>
        <w:tc>
          <w:tcPr>
            <w:tcW w:w="135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p>
        </w:tc>
        <w:tc>
          <w:tcPr>
            <w:tcW w:w="135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p>
        </w:tc>
        <w:tc>
          <w:tcPr>
            <w:tcW w:w="135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p>
        </w:tc>
      </w:tr>
      <w:tr w:rsidR="004073D6" w:rsidRPr="004073D6" w:rsidTr="004073D6">
        <w:trPr>
          <w:trHeight w:val="247"/>
        </w:trPr>
        <w:tc>
          <w:tcPr>
            <w:tcW w:w="396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r w:rsidRPr="004073D6">
              <w:rPr>
                <w:rFonts w:ascii="Arial" w:hAnsi="Arial" w:cs="Arial"/>
                <w:b/>
                <w:bCs/>
                <w:color w:val="000000"/>
                <w:sz w:val="20"/>
                <w:szCs w:val="20"/>
                <w:lang w:eastAsia="zh-CN"/>
              </w:rPr>
              <w:t xml:space="preserve">Probability of </w:t>
            </w:r>
            <w:proofErr w:type="spellStart"/>
            <w:r w:rsidRPr="004073D6">
              <w:rPr>
                <w:rFonts w:ascii="Arial" w:hAnsi="Arial" w:cs="Arial"/>
                <w:b/>
                <w:bCs/>
                <w:color w:val="000000"/>
                <w:sz w:val="20"/>
                <w:szCs w:val="20"/>
                <w:lang w:eastAsia="zh-CN"/>
              </w:rPr>
              <w:t>Manipulaton</w:t>
            </w:r>
            <w:proofErr w:type="spellEnd"/>
          </w:p>
        </w:tc>
        <w:tc>
          <w:tcPr>
            <w:tcW w:w="135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r w:rsidRPr="004073D6">
              <w:rPr>
                <w:rFonts w:ascii="Arial" w:hAnsi="Arial" w:cs="Arial"/>
                <w:b/>
                <w:bCs/>
                <w:color w:val="000000"/>
                <w:sz w:val="20"/>
                <w:szCs w:val="20"/>
                <w:lang w:eastAsia="zh-CN"/>
              </w:rPr>
              <w:t>1.22%</w:t>
            </w:r>
          </w:p>
        </w:tc>
        <w:tc>
          <w:tcPr>
            <w:tcW w:w="135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r w:rsidRPr="004073D6">
              <w:rPr>
                <w:rFonts w:ascii="Arial" w:hAnsi="Arial" w:cs="Arial"/>
                <w:b/>
                <w:bCs/>
                <w:color w:val="000000"/>
                <w:sz w:val="20"/>
                <w:szCs w:val="20"/>
                <w:lang w:eastAsia="zh-CN"/>
              </w:rPr>
              <w:t>40.63%</w:t>
            </w:r>
          </w:p>
        </w:tc>
        <w:tc>
          <w:tcPr>
            <w:tcW w:w="1350" w:type="dxa"/>
          </w:tcPr>
          <w:p w:rsidR="004073D6" w:rsidRPr="004073D6" w:rsidRDefault="004073D6" w:rsidP="004073D6">
            <w:pPr>
              <w:autoSpaceDE w:val="0"/>
              <w:autoSpaceDN w:val="0"/>
              <w:adjustRightInd w:val="0"/>
              <w:rPr>
                <w:rFonts w:ascii="Arial" w:hAnsi="Arial" w:cs="Arial"/>
                <w:b/>
                <w:bCs/>
                <w:color w:val="000000"/>
                <w:sz w:val="20"/>
                <w:szCs w:val="20"/>
                <w:lang w:eastAsia="zh-CN"/>
              </w:rPr>
            </w:pPr>
            <w:r w:rsidRPr="004073D6">
              <w:rPr>
                <w:rFonts w:ascii="Arial" w:hAnsi="Arial" w:cs="Arial"/>
                <w:b/>
                <w:bCs/>
                <w:color w:val="000000"/>
                <w:sz w:val="20"/>
                <w:szCs w:val="20"/>
                <w:lang w:eastAsia="zh-CN"/>
              </w:rPr>
              <w:t>100.00%</w:t>
            </w:r>
          </w:p>
        </w:tc>
      </w:tr>
    </w:tbl>
    <w:p w:rsidR="00663105" w:rsidRDefault="00663105" w:rsidP="00EE3621">
      <w:pPr>
        <w:rPr>
          <w:rFonts w:ascii="Verdana" w:eastAsia="Times New Roman" w:hAnsi="Verdana" w:cs="Arial"/>
          <w:sz w:val="24"/>
          <w:szCs w:val="24"/>
        </w:rPr>
      </w:pPr>
    </w:p>
    <w:p w:rsidR="007B3C1D" w:rsidRDefault="004073D6" w:rsidP="00EE3621">
      <w:pPr>
        <w:rPr>
          <w:rFonts w:ascii="Verdana" w:eastAsia="Times New Roman" w:hAnsi="Verdana" w:cs="Arial"/>
          <w:sz w:val="24"/>
          <w:szCs w:val="24"/>
        </w:rPr>
      </w:pPr>
      <w:r>
        <w:rPr>
          <w:rFonts w:ascii="Verdana" w:eastAsia="Times New Roman" w:hAnsi="Verdana" w:cs="Arial"/>
          <w:sz w:val="24"/>
          <w:szCs w:val="24"/>
        </w:rPr>
        <w:t>So what’s th</w:t>
      </w:r>
      <w:r w:rsidR="00B3541F">
        <w:rPr>
          <w:rFonts w:ascii="Verdana" w:eastAsia="Times New Roman" w:hAnsi="Verdana" w:cs="Arial"/>
          <w:sz w:val="24"/>
          <w:szCs w:val="24"/>
        </w:rPr>
        <w:t>e punch line?  The SEC is right!</w:t>
      </w:r>
      <w:r>
        <w:rPr>
          <w:rFonts w:ascii="Verdana" w:eastAsia="Times New Roman" w:hAnsi="Verdana" w:cs="Arial"/>
          <w:sz w:val="24"/>
          <w:szCs w:val="24"/>
        </w:rPr>
        <w:t xml:space="preserve">  Investors and auditors actually need to read the securities filings and related financial statements when making their financial decisions, and performing their audits.  Clearly they are not.</w:t>
      </w:r>
    </w:p>
    <w:p w:rsidR="00CF156B" w:rsidRDefault="00CF156B" w:rsidP="00EE3621">
      <w:pPr>
        <w:rPr>
          <w:rFonts w:ascii="Verdana" w:eastAsia="Times New Roman" w:hAnsi="Verdana" w:cs="Arial"/>
          <w:sz w:val="24"/>
          <w:szCs w:val="24"/>
        </w:rPr>
      </w:pPr>
    </w:p>
    <w:p w:rsidR="00376265" w:rsidRDefault="00376265" w:rsidP="00376265">
      <w:pPr>
        <w:rPr>
          <w:rFonts w:ascii="Verdana" w:eastAsia="Times New Roman" w:hAnsi="Verdana" w:cs="Arial"/>
          <w:i/>
          <w:sz w:val="24"/>
          <w:szCs w:val="24"/>
        </w:rPr>
      </w:pPr>
      <w:r>
        <w:rPr>
          <w:rFonts w:ascii="Verdana" w:eastAsia="Times New Roman" w:hAnsi="Verdana" w:cs="Arial"/>
          <w:i/>
          <w:sz w:val="24"/>
          <w:szCs w:val="24"/>
        </w:rPr>
        <w:t xml:space="preserve">“We shall seldom get lost if we hold to main lines.” </w:t>
      </w:r>
      <w:r>
        <w:rPr>
          <w:rFonts w:ascii="Verdana" w:eastAsia="Times New Roman" w:hAnsi="Verdana" w:cs="Arial"/>
          <w:i/>
          <w:sz w:val="24"/>
          <w:szCs w:val="24"/>
        </w:rPr>
        <w:br/>
      </w:r>
    </w:p>
    <w:p w:rsidR="00376265" w:rsidRPr="00262AA0" w:rsidRDefault="00376265" w:rsidP="00376265">
      <w:pPr>
        <w:jc w:val="center"/>
        <w:rPr>
          <w:rFonts w:ascii="Verdana" w:eastAsia="Times New Roman" w:hAnsi="Verdana" w:cs="Arial"/>
          <w:sz w:val="24"/>
          <w:szCs w:val="24"/>
        </w:rPr>
      </w:pPr>
      <w:r>
        <w:rPr>
          <w:rFonts w:ascii="Verdana" w:eastAsia="Times New Roman" w:hAnsi="Verdana" w:cs="Arial"/>
          <w:i/>
          <w:sz w:val="24"/>
          <w:szCs w:val="24"/>
        </w:rPr>
        <w:t xml:space="preserve"> - </w:t>
      </w:r>
      <w:r w:rsidRPr="00262AA0">
        <w:rPr>
          <w:rFonts w:ascii="Verdana" w:eastAsia="Times New Roman" w:hAnsi="Verdana" w:cs="Arial"/>
          <w:sz w:val="24"/>
          <w:szCs w:val="24"/>
        </w:rPr>
        <w:t>Confucius</w:t>
      </w:r>
    </w:p>
    <w:p w:rsidR="00376265" w:rsidRDefault="00376265" w:rsidP="00EE3621">
      <w:pPr>
        <w:rPr>
          <w:rFonts w:ascii="Arial" w:hAnsi="Arial" w:cs="Arial"/>
          <w:color w:val="000066"/>
          <w:sz w:val="18"/>
          <w:szCs w:val="18"/>
        </w:rPr>
      </w:pPr>
    </w:p>
    <w:p w:rsidR="0018488F" w:rsidRPr="00EE3621" w:rsidRDefault="0018488F" w:rsidP="005679C2">
      <w:pPr>
        <w:pBdr>
          <w:bottom w:val="thinThickThinMediumGap" w:sz="18" w:space="0" w:color="auto"/>
        </w:pBdr>
        <w:rPr>
          <w:rFonts w:ascii="Verdana" w:eastAsia="Times New Roman" w:hAnsi="Verdana"/>
          <w:sz w:val="24"/>
          <w:szCs w:val="24"/>
        </w:rPr>
      </w:pPr>
    </w:p>
    <w:p w:rsidR="0018488F" w:rsidRPr="00EE3621" w:rsidRDefault="0018488F" w:rsidP="005679C2">
      <w:pPr>
        <w:pStyle w:val="BodyText"/>
        <w:spacing w:line="240" w:lineRule="auto"/>
        <w:rPr>
          <w:rFonts w:ascii="Verdana" w:hAnsi="Verdana"/>
          <w:i/>
        </w:rPr>
      </w:pPr>
    </w:p>
    <w:p w:rsidR="0018488F" w:rsidRPr="00EE3621" w:rsidRDefault="0018488F" w:rsidP="005679C2">
      <w:pPr>
        <w:pStyle w:val="BodyText"/>
        <w:spacing w:line="240" w:lineRule="auto"/>
        <w:rPr>
          <w:rFonts w:ascii="Verdana" w:hAnsi="Verdana"/>
          <w:i/>
        </w:rPr>
      </w:pPr>
      <w:r w:rsidRPr="00EE3621">
        <w:rPr>
          <w:rFonts w:ascii="Verdana" w:hAnsi="Verdana"/>
          <w:i/>
        </w:rPr>
        <w:t>This essay reflects the opinion of the authors and not necessarily the opinions of The Pennsylvania State University, The American College, or Villanova University.</w:t>
      </w:r>
    </w:p>
    <w:p w:rsidR="0018488F" w:rsidRPr="00EE3621" w:rsidRDefault="0018488F" w:rsidP="005679C2">
      <w:pPr>
        <w:pBdr>
          <w:bottom w:val="thinThickThinMediumGap" w:sz="18" w:space="0" w:color="auto"/>
        </w:pBdr>
        <w:rPr>
          <w:rFonts w:ascii="Verdana" w:hAnsi="Verdana"/>
        </w:rPr>
      </w:pPr>
    </w:p>
    <w:p w:rsidR="0018488F" w:rsidRPr="00EE3621" w:rsidRDefault="0018488F" w:rsidP="005679C2">
      <w:pPr>
        <w:pStyle w:val="BodyTextIndent"/>
        <w:spacing w:after="0"/>
        <w:ind w:left="0"/>
        <w:rPr>
          <w:rFonts w:ascii="Verdana" w:hAnsi="Verdana"/>
          <w:sz w:val="24"/>
          <w:szCs w:val="24"/>
        </w:rPr>
      </w:pPr>
    </w:p>
    <w:p w:rsidR="0018488F" w:rsidRPr="00EE3621" w:rsidRDefault="0018488F" w:rsidP="00383ECD">
      <w:pPr>
        <w:rPr>
          <w:rFonts w:ascii="Verdana" w:hAnsi="Verdana" w:cs="Arial"/>
          <w:sz w:val="24"/>
          <w:szCs w:val="24"/>
        </w:rPr>
      </w:pPr>
    </w:p>
    <w:sectPr w:rsidR="0018488F" w:rsidRPr="00EE3621"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F8C38D9"/>
    <w:multiLevelType w:val="multilevel"/>
    <w:tmpl w:val="46BE4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hint="default"/>
      </w:rPr>
    </w:lvl>
    <w:lvl w:ilvl="8" w:tplc="04090005">
      <w:start w:val="1"/>
      <w:numFmt w:val="bullet"/>
      <w:lvlText w:val=""/>
      <w:lvlJc w:val="left"/>
      <w:pPr>
        <w:ind w:left="6534" w:hanging="360"/>
      </w:pPr>
      <w:rPr>
        <w:rFonts w:ascii="Wingdings" w:hAnsi="Wingdings" w:hint="default"/>
      </w:rPr>
    </w:lvl>
  </w:abstractNum>
  <w:abstractNum w:abstractNumId="6">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F9D05C4"/>
    <w:multiLevelType w:val="hybridMultilevel"/>
    <w:tmpl w:val="A3D2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7"/>
  </w:num>
  <w:num w:numId="6">
    <w:abstractNumId w:val="4"/>
  </w:num>
  <w:num w:numId="7">
    <w:abstractNumId w:val="5"/>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20"/>
  <w:doNotHyphenateCaps/>
  <w:characterSpacingControl w:val="doNotCompress"/>
  <w:doNotValidateAgainstSchema/>
  <w:doNotDemarcateInvalidXml/>
  <w:compat/>
  <w:rsids>
    <w:rsidRoot w:val="003A627B"/>
    <w:rsid w:val="0001223C"/>
    <w:rsid w:val="00012D22"/>
    <w:rsid w:val="00032D82"/>
    <w:rsid w:val="000374C2"/>
    <w:rsid w:val="00047DB3"/>
    <w:rsid w:val="00052C5C"/>
    <w:rsid w:val="00070A9F"/>
    <w:rsid w:val="00081916"/>
    <w:rsid w:val="0008518C"/>
    <w:rsid w:val="00093316"/>
    <w:rsid w:val="000A52AA"/>
    <w:rsid w:val="000A68B5"/>
    <w:rsid w:val="000B0974"/>
    <w:rsid w:val="000C0DAE"/>
    <w:rsid w:val="000D0918"/>
    <w:rsid w:val="000D1FCF"/>
    <w:rsid w:val="000E2E4F"/>
    <w:rsid w:val="001250A6"/>
    <w:rsid w:val="00144747"/>
    <w:rsid w:val="00166500"/>
    <w:rsid w:val="001823C4"/>
    <w:rsid w:val="0018488F"/>
    <w:rsid w:val="00187CCA"/>
    <w:rsid w:val="00190F46"/>
    <w:rsid w:val="001978FB"/>
    <w:rsid w:val="00197E4C"/>
    <w:rsid w:val="001A35D6"/>
    <w:rsid w:val="001A523B"/>
    <w:rsid w:val="001A5685"/>
    <w:rsid w:val="001A63DD"/>
    <w:rsid w:val="001B22C6"/>
    <w:rsid w:val="001B2AE8"/>
    <w:rsid w:val="001B3448"/>
    <w:rsid w:val="001C3948"/>
    <w:rsid w:val="001C52BA"/>
    <w:rsid w:val="001C5C9F"/>
    <w:rsid w:val="001C7FFA"/>
    <w:rsid w:val="001D0C1E"/>
    <w:rsid w:val="001D498F"/>
    <w:rsid w:val="002134E1"/>
    <w:rsid w:val="00215FD8"/>
    <w:rsid w:val="002254DA"/>
    <w:rsid w:val="00240FDB"/>
    <w:rsid w:val="00261C27"/>
    <w:rsid w:val="00262A14"/>
    <w:rsid w:val="00262AA0"/>
    <w:rsid w:val="00285D9E"/>
    <w:rsid w:val="002921E3"/>
    <w:rsid w:val="002A35CE"/>
    <w:rsid w:val="002B0A9D"/>
    <w:rsid w:val="002B29A5"/>
    <w:rsid w:val="002D4F3B"/>
    <w:rsid w:val="002F0BA6"/>
    <w:rsid w:val="00307529"/>
    <w:rsid w:val="0031191B"/>
    <w:rsid w:val="00315910"/>
    <w:rsid w:val="00316C9F"/>
    <w:rsid w:val="003259CE"/>
    <w:rsid w:val="00327520"/>
    <w:rsid w:val="00337FC2"/>
    <w:rsid w:val="00360B75"/>
    <w:rsid w:val="003614EA"/>
    <w:rsid w:val="00362D5A"/>
    <w:rsid w:val="00370B67"/>
    <w:rsid w:val="00376265"/>
    <w:rsid w:val="00383ECD"/>
    <w:rsid w:val="00387AD3"/>
    <w:rsid w:val="0039366C"/>
    <w:rsid w:val="00394F33"/>
    <w:rsid w:val="00397DAF"/>
    <w:rsid w:val="003A627B"/>
    <w:rsid w:val="003B5481"/>
    <w:rsid w:val="003C2F39"/>
    <w:rsid w:val="003C370E"/>
    <w:rsid w:val="003D7633"/>
    <w:rsid w:val="003E1810"/>
    <w:rsid w:val="003F6FEC"/>
    <w:rsid w:val="004073D6"/>
    <w:rsid w:val="0041364C"/>
    <w:rsid w:val="00427E14"/>
    <w:rsid w:val="00441449"/>
    <w:rsid w:val="00443813"/>
    <w:rsid w:val="00452131"/>
    <w:rsid w:val="004534FA"/>
    <w:rsid w:val="00460BD2"/>
    <w:rsid w:val="00465E6E"/>
    <w:rsid w:val="00470F82"/>
    <w:rsid w:val="00471A13"/>
    <w:rsid w:val="004B03F1"/>
    <w:rsid w:val="004D6BFC"/>
    <w:rsid w:val="004E67AF"/>
    <w:rsid w:val="004E7B9C"/>
    <w:rsid w:val="004F67F0"/>
    <w:rsid w:val="0050185A"/>
    <w:rsid w:val="0050560F"/>
    <w:rsid w:val="0050716A"/>
    <w:rsid w:val="005174B2"/>
    <w:rsid w:val="00534915"/>
    <w:rsid w:val="00547265"/>
    <w:rsid w:val="00554F44"/>
    <w:rsid w:val="005679C2"/>
    <w:rsid w:val="00572989"/>
    <w:rsid w:val="005858AA"/>
    <w:rsid w:val="005877D3"/>
    <w:rsid w:val="005A091B"/>
    <w:rsid w:val="005A186D"/>
    <w:rsid w:val="005B094B"/>
    <w:rsid w:val="005B3AFB"/>
    <w:rsid w:val="005B7BA1"/>
    <w:rsid w:val="005C7FC3"/>
    <w:rsid w:val="005E0610"/>
    <w:rsid w:val="00626CA8"/>
    <w:rsid w:val="0065158D"/>
    <w:rsid w:val="00654AEE"/>
    <w:rsid w:val="00656E06"/>
    <w:rsid w:val="00663105"/>
    <w:rsid w:val="00671DE9"/>
    <w:rsid w:val="006A7CF1"/>
    <w:rsid w:val="006B5167"/>
    <w:rsid w:val="006D4DE1"/>
    <w:rsid w:val="006E7703"/>
    <w:rsid w:val="006F298B"/>
    <w:rsid w:val="006F6A5B"/>
    <w:rsid w:val="00701811"/>
    <w:rsid w:val="007069CC"/>
    <w:rsid w:val="007243E8"/>
    <w:rsid w:val="007310E9"/>
    <w:rsid w:val="0073155B"/>
    <w:rsid w:val="00741CC4"/>
    <w:rsid w:val="00753045"/>
    <w:rsid w:val="0075714F"/>
    <w:rsid w:val="00762F72"/>
    <w:rsid w:val="007929EA"/>
    <w:rsid w:val="007935E9"/>
    <w:rsid w:val="00795EDC"/>
    <w:rsid w:val="007A096E"/>
    <w:rsid w:val="007A54C7"/>
    <w:rsid w:val="007B3C1D"/>
    <w:rsid w:val="007C2521"/>
    <w:rsid w:val="007D30EB"/>
    <w:rsid w:val="007D7854"/>
    <w:rsid w:val="007E22CE"/>
    <w:rsid w:val="007E274D"/>
    <w:rsid w:val="007E6AB2"/>
    <w:rsid w:val="00825D4D"/>
    <w:rsid w:val="008265E1"/>
    <w:rsid w:val="00830A0B"/>
    <w:rsid w:val="00834103"/>
    <w:rsid w:val="00847F54"/>
    <w:rsid w:val="008633C7"/>
    <w:rsid w:val="00874083"/>
    <w:rsid w:val="0087771A"/>
    <w:rsid w:val="0088295A"/>
    <w:rsid w:val="008853C6"/>
    <w:rsid w:val="00885921"/>
    <w:rsid w:val="008B5E1A"/>
    <w:rsid w:val="008B64BB"/>
    <w:rsid w:val="008D2071"/>
    <w:rsid w:val="008E6D9D"/>
    <w:rsid w:val="0090324F"/>
    <w:rsid w:val="00927CE2"/>
    <w:rsid w:val="00952126"/>
    <w:rsid w:val="009552D6"/>
    <w:rsid w:val="009578F2"/>
    <w:rsid w:val="009666DA"/>
    <w:rsid w:val="00974768"/>
    <w:rsid w:val="00975403"/>
    <w:rsid w:val="00986C14"/>
    <w:rsid w:val="009A0991"/>
    <w:rsid w:val="009A26FD"/>
    <w:rsid w:val="009A40B3"/>
    <w:rsid w:val="009A6D9B"/>
    <w:rsid w:val="009D3CF4"/>
    <w:rsid w:val="009D772A"/>
    <w:rsid w:val="009E3CC3"/>
    <w:rsid w:val="00A02E34"/>
    <w:rsid w:val="00A03ADF"/>
    <w:rsid w:val="00A11437"/>
    <w:rsid w:val="00A2604A"/>
    <w:rsid w:val="00A344D2"/>
    <w:rsid w:val="00A501CA"/>
    <w:rsid w:val="00A56122"/>
    <w:rsid w:val="00A623DC"/>
    <w:rsid w:val="00A83D04"/>
    <w:rsid w:val="00A947A3"/>
    <w:rsid w:val="00AB5DEF"/>
    <w:rsid w:val="00AC081E"/>
    <w:rsid w:val="00AD7053"/>
    <w:rsid w:val="00AE44C0"/>
    <w:rsid w:val="00B15DE7"/>
    <w:rsid w:val="00B15DF0"/>
    <w:rsid w:val="00B20912"/>
    <w:rsid w:val="00B22B1B"/>
    <w:rsid w:val="00B3541F"/>
    <w:rsid w:val="00B70140"/>
    <w:rsid w:val="00B7722F"/>
    <w:rsid w:val="00B8681F"/>
    <w:rsid w:val="00B91C46"/>
    <w:rsid w:val="00BA0AB4"/>
    <w:rsid w:val="00BA57CC"/>
    <w:rsid w:val="00BB6235"/>
    <w:rsid w:val="00BC1DB8"/>
    <w:rsid w:val="00BC33AB"/>
    <w:rsid w:val="00BD1C30"/>
    <w:rsid w:val="00BD4859"/>
    <w:rsid w:val="00BD4CB7"/>
    <w:rsid w:val="00BF4BFB"/>
    <w:rsid w:val="00BF4CC9"/>
    <w:rsid w:val="00BF663F"/>
    <w:rsid w:val="00C02A18"/>
    <w:rsid w:val="00C0326A"/>
    <w:rsid w:val="00C04A39"/>
    <w:rsid w:val="00C06C9A"/>
    <w:rsid w:val="00C078C0"/>
    <w:rsid w:val="00C11388"/>
    <w:rsid w:val="00C14B68"/>
    <w:rsid w:val="00C17B64"/>
    <w:rsid w:val="00C23640"/>
    <w:rsid w:val="00C25606"/>
    <w:rsid w:val="00C40DDB"/>
    <w:rsid w:val="00C7386E"/>
    <w:rsid w:val="00C83508"/>
    <w:rsid w:val="00C86325"/>
    <w:rsid w:val="00C87237"/>
    <w:rsid w:val="00CA134C"/>
    <w:rsid w:val="00CA31AC"/>
    <w:rsid w:val="00CA4259"/>
    <w:rsid w:val="00CB7FD0"/>
    <w:rsid w:val="00CC7B0A"/>
    <w:rsid w:val="00CD0E7F"/>
    <w:rsid w:val="00CD27FE"/>
    <w:rsid w:val="00CD53E6"/>
    <w:rsid w:val="00CF156B"/>
    <w:rsid w:val="00CF567E"/>
    <w:rsid w:val="00D00104"/>
    <w:rsid w:val="00D005BC"/>
    <w:rsid w:val="00D04C30"/>
    <w:rsid w:val="00D10237"/>
    <w:rsid w:val="00D11713"/>
    <w:rsid w:val="00D15B07"/>
    <w:rsid w:val="00D261DD"/>
    <w:rsid w:val="00D54EF4"/>
    <w:rsid w:val="00D552C9"/>
    <w:rsid w:val="00D56E24"/>
    <w:rsid w:val="00D61A1F"/>
    <w:rsid w:val="00D95075"/>
    <w:rsid w:val="00D96CB6"/>
    <w:rsid w:val="00DA129A"/>
    <w:rsid w:val="00DC6A24"/>
    <w:rsid w:val="00DE58F7"/>
    <w:rsid w:val="00DF0802"/>
    <w:rsid w:val="00DF0BCE"/>
    <w:rsid w:val="00E0278C"/>
    <w:rsid w:val="00E0530E"/>
    <w:rsid w:val="00E06D2C"/>
    <w:rsid w:val="00E318EE"/>
    <w:rsid w:val="00E45693"/>
    <w:rsid w:val="00E56799"/>
    <w:rsid w:val="00E62481"/>
    <w:rsid w:val="00E656F7"/>
    <w:rsid w:val="00E6651F"/>
    <w:rsid w:val="00E7090C"/>
    <w:rsid w:val="00E81155"/>
    <w:rsid w:val="00EA73DD"/>
    <w:rsid w:val="00EB4D4A"/>
    <w:rsid w:val="00EC60BE"/>
    <w:rsid w:val="00ED3830"/>
    <w:rsid w:val="00EE3621"/>
    <w:rsid w:val="00EE6A29"/>
    <w:rsid w:val="00EF3CB2"/>
    <w:rsid w:val="00F0140C"/>
    <w:rsid w:val="00F37BB7"/>
    <w:rsid w:val="00F44832"/>
    <w:rsid w:val="00F454E5"/>
    <w:rsid w:val="00F629E5"/>
    <w:rsid w:val="00F7237C"/>
    <w:rsid w:val="00F8568F"/>
    <w:rsid w:val="00F93625"/>
    <w:rsid w:val="00F95297"/>
    <w:rsid w:val="00FA305E"/>
    <w:rsid w:val="00FB7F87"/>
    <w:rsid w:val="00FC122E"/>
    <w:rsid w:val="00FC520E"/>
    <w:rsid w:val="00FC5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rPr>
      <w:lang w:eastAsia="en-US"/>
    </w:rPr>
  </w:style>
  <w:style w:type="paragraph" w:styleId="Heading5">
    <w:name w:val="heading 5"/>
    <w:basedOn w:val="Normal"/>
    <w:link w:val="Heading5Char"/>
    <w:uiPriority w:val="99"/>
    <w:qFormat/>
    <w:rsid w:val="00AB5DEF"/>
    <w:pPr>
      <w:spacing w:before="100" w:beforeAutospacing="1" w:after="100" w:afterAutospacing="1"/>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AB5DEF"/>
    <w:rPr>
      <w:rFonts w:ascii="Times New Roman" w:hAnsi="Times New Roman" w:cs="Times New Roman"/>
      <w:b/>
      <w:bCs/>
      <w:sz w:val="20"/>
      <w:szCs w:val="20"/>
    </w:rPr>
  </w:style>
  <w:style w:type="paragraph" w:styleId="ListParagraph">
    <w:name w:val="List Paragraph"/>
    <w:basedOn w:val="Normal"/>
    <w:uiPriority w:val="99"/>
    <w:qFormat/>
    <w:rsid w:val="00B91C46"/>
    <w:pPr>
      <w:ind w:left="720"/>
    </w:pPr>
  </w:style>
  <w:style w:type="paragraph" w:styleId="BalloonText">
    <w:name w:val="Balloon Text"/>
    <w:basedOn w:val="Normal"/>
    <w:link w:val="BalloonTextChar"/>
    <w:uiPriority w:val="99"/>
    <w:semiHidden/>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1C46"/>
    <w:rPr>
      <w:rFonts w:ascii="Tahoma" w:hAnsi="Tahoma" w:cs="Tahoma"/>
      <w:sz w:val="16"/>
      <w:szCs w:val="16"/>
    </w:rPr>
  </w:style>
  <w:style w:type="character" w:styleId="CommentReference">
    <w:name w:val="annotation reference"/>
    <w:basedOn w:val="DefaultParagraphFont"/>
    <w:uiPriority w:val="99"/>
    <w:semiHidden/>
    <w:rsid w:val="005679C2"/>
    <w:rPr>
      <w:rFonts w:cs="Times New Roman"/>
      <w:sz w:val="16"/>
      <w:szCs w:val="16"/>
    </w:rPr>
  </w:style>
  <w:style w:type="paragraph" w:styleId="CommentText">
    <w:name w:val="annotation text"/>
    <w:basedOn w:val="Normal"/>
    <w:link w:val="CommentTextChar"/>
    <w:uiPriority w:val="99"/>
    <w:semiHidden/>
    <w:rsid w:val="005679C2"/>
    <w:rPr>
      <w:sz w:val="20"/>
      <w:szCs w:val="20"/>
    </w:rPr>
  </w:style>
  <w:style w:type="character" w:customStyle="1" w:styleId="CommentTextChar">
    <w:name w:val="Comment Text Char"/>
    <w:basedOn w:val="DefaultParagraphFont"/>
    <w:link w:val="CommentText"/>
    <w:uiPriority w:val="99"/>
    <w:semiHidden/>
    <w:locked/>
    <w:rsid w:val="005679C2"/>
    <w:rPr>
      <w:rFonts w:cs="Times New Roman"/>
      <w:sz w:val="20"/>
      <w:szCs w:val="20"/>
    </w:rPr>
  </w:style>
  <w:style w:type="paragraph" w:styleId="CommentSubject">
    <w:name w:val="annotation subject"/>
    <w:basedOn w:val="CommentText"/>
    <w:next w:val="CommentText"/>
    <w:link w:val="CommentSubjectChar"/>
    <w:uiPriority w:val="99"/>
    <w:semiHidden/>
    <w:rsid w:val="005679C2"/>
    <w:rPr>
      <w:b/>
      <w:bCs/>
    </w:rPr>
  </w:style>
  <w:style w:type="character" w:customStyle="1" w:styleId="CommentSubjectChar">
    <w:name w:val="Comment Subject Char"/>
    <w:basedOn w:val="CommentTextChar"/>
    <w:link w:val="CommentSubject"/>
    <w:uiPriority w:val="99"/>
    <w:semiHidden/>
    <w:locked/>
    <w:rsid w:val="005679C2"/>
    <w:rPr>
      <w:b/>
      <w:bCs/>
    </w:rPr>
  </w:style>
  <w:style w:type="paragraph" w:styleId="BodyText">
    <w:name w:val="Body Text"/>
    <w:basedOn w:val="Normal"/>
    <w:link w:val="BodyTextChar"/>
    <w:uiPriority w:val="99"/>
    <w:rsid w:val="005679C2"/>
    <w:pPr>
      <w:spacing w:line="480" w:lineRule="auto"/>
    </w:pPr>
    <w:rPr>
      <w:rFonts w:ascii="Times New Roman" w:eastAsia="Times New Roman" w:hAnsi="Times New Roman"/>
      <w:sz w:val="24"/>
      <w:szCs w:val="20"/>
    </w:rPr>
  </w:style>
  <w:style w:type="character" w:customStyle="1" w:styleId="BodyTextChar">
    <w:name w:val="Body Text Char"/>
    <w:basedOn w:val="DefaultParagraphFont"/>
    <w:link w:val="BodyText"/>
    <w:uiPriority w:val="99"/>
    <w:locked/>
    <w:rsid w:val="005679C2"/>
    <w:rPr>
      <w:rFonts w:ascii="Times New Roman" w:hAnsi="Times New Roman" w:cs="Times New Roman"/>
      <w:sz w:val="20"/>
      <w:szCs w:val="20"/>
    </w:rPr>
  </w:style>
  <w:style w:type="paragraph" w:styleId="BodyTextIndent">
    <w:name w:val="Body Text Indent"/>
    <w:basedOn w:val="Normal"/>
    <w:link w:val="BodyTextIndentChar"/>
    <w:uiPriority w:val="99"/>
    <w:rsid w:val="005679C2"/>
    <w:pPr>
      <w:spacing w:after="120"/>
      <w:ind w:left="36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uiPriority w:val="99"/>
    <w:locked/>
    <w:rsid w:val="005679C2"/>
    <w:rPr>
      <w:rFonts w:ascii="Times New Roman" w:hAnsi="Times New Roman" w:cs="Times New Roman"/>
      <w:sz w:val="20"/>
      <w:szCs w:val="20"/>
    </w:rPr>
  </w:style>
  <w:style w:type="character" w:styleId="Hyperlink">
    <w:name w:val="Hyperlink"/>
    <w:basedOn w:val="DefaultParagraphFont"/>
    <w:uiPriority w:val="99"/>
    <w:rsid w:val="0008518C"/>
    <w:rPr>
      <w:rFonts w:cs="Times New Roman"/>
      <w:color w:val="0000FF"/>
      <w:u w:val="single"/>
    </w:rPr>
  </w:style>
  <w:style w:type="character" w:styleId="FollowedHyperlink">
    <w:name w:val="FollowedHyperlink"/>
    <w:basedOn w:val="DefaultParagraphFont"/>
    <w:uiPriority w:val="99"/>
    <w:semiHidden/>
    <w:rsid w:val="00B22B1B"/>
    <w:rPr>
      <w:rFonts w:cs="Times New Roman"/>
      <w:color w:val="800080"/>
      <w:u w:val="single"/>
    </w:rPr>
  </w:style>
  <w:style w:type="paragraph" w:styleId="NormalWeb">
    <w:name w:val="Normal (Web)"/>
    <w:basedOn w:val="Normal"/>
    <w:uiPriority w:val="99"/>
    <w:rsid w:val="00AB5DEF"/>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1250A6"/>
    <w:rPr>
      <w:rFonts w:cs="Times New Roman"/>
    </w:rPr>
  </w:style>
</w:styles>
</file>

<file path=word/webSettings.xml><?xml version="1.0" encoding="utf-8"?>
<w:webSettings xmlns:r="http://schemas.openxmlformats.org/officeDocument/2006/relationships" xmlns:w="http://schemas.openxmlformats.org/wordprocessingml/2006/main">
  <w:divs>
    <w:div w:id="810947048">
      <w:marLeft w:val="0"/>
      <w:marRight w:val="0"/>
      <w:marTop w:val="0"/>
      <w:marBottom w:val="0"/>
      <w:divBdr>
        <w:top w:val="none" w:sz="0" w:space="0" w:color="auto"/>
        <w:left w:val="none" w:sz="0" w:space="0" w:color="auto"/>
        <w:bottom w:val="none" w:sz="0" w:space="0" w:color="auto"/>
        <w:right w:val="none" w:sz="0" w:space="0" w:color="auto"/>
      </w:divBdr>
    </w:div>
    <w:div w:id="810947057">
      <w:marLeft w:val="0"/>
      <w:marRight w:val="0"/>
      <w:marTop w:val="0"/>
      <w:marBottom w:val="0"/>
      <w:divBdr>
        <w:top w:val="none" w:sz="0" w:space="0" w:color="auto"/>
        <w:left w:val="none" w:sz="0" w:space="0" w:color="auto"/>
        <w:bottom w:val="none" w:sz="0" w:space="0" w:color="auto"/>
        <w:right w:val="none" w:sz="0" w:space="0" w:color="auto"/>
      </w:divBdr>
    </w:div>
    <w:div w:id="810947062">
      <w:marLeft w:val="0"/>
      <w:marRight w:val="0"/>
      <w:marTop w:val="0"/>
      <w:marBottom w:val="0"/>
      <w:divBdr>
        <w:top w:val="none" w:sz="0" w:space="0" w:color="auto"/>
        <w:left w:val="none" w:sz="0" w:space="0" w:color="auto"/>
        <w:bottom w:val="none" w:sz="0" w:space="0" w:color="auto"/>
        <w:right w:val="none" w:sz="0" w:space="0" w:color="auto"/>
      </w:divBdr>
    </w:div>
    <w:div w:id="810947077">
      <w:marLeft w:val="0"/>
      <w:marRight w:val="0"/>
      <w:marTop w:val="0"/>
      <w:marBottom w:val="0"/>
      <w:divBdr>
        <w:top w:val="none" w:sz="0" w:space="0" w:color="auto"/>
        <w:left w:val="none" w:sz="0" w:space="0" w:color="auto"/>
        <w:bottom w:val="none" w:sz="0" w:space="0" w:color="auto"/>
        <w:right w:val="none" w:sz="0" w:space="0" w:color="auto"/>
      </w:divBdr>
      <w:divsChild>
        <w:div w:id="810947050">
          <w:marLeft w:val="0"/>
          <w:marRight w:val="0"/>
          <w:marTop w:val="0"/>
          <w:marBottom w:val="0"/>
          <w:divBdr>
            <w:top w:val="none" w:sz="0" w:space="0" w:color="auto"/>
            <w:left w:val="none" w:sz="0" w:space="0" w:color="auto"/>
            <w:bottom w:val="none" w:sz="0" w:space="0" w:color="auto"/>
            <w:right w:val="none" w:sz="0" w:space="0" w:color="auto"/>
          </w:divBdr>
          <w:divsChild>
            <w:div w:id="810947075">
              <w:marLeft w:val="0"/>
              <w:marRight w:val="0"/>
              <w:marTop w:val="0"/>
              <w:marBottom w:val="0"/>
              <w:divBdr>
                <w:top w:val="none" w:sz="0" w:space="0" w:color="auto"/>
                <w:left w:val="none" w:sz="0" w:space="0" w:color="auto"/>
                <w:bottom w:val="none" w:sz="0" w:space="0" w:color="auto"/>
                <w:right w:val="none" w:sz="0" w:space="0" w:color="auto"/>
              </w:divBdr>
              <w:divsChild>
                <w:div w:id="810947049">
                  <w:marLeft w:val="0"/>
                  <w:marRight w:val="0"/>
                  <w:marTop w:val="0"/>
                  <w:marBottom w:val="0"/>
                  <w:divBdr>
                    <w:top w:val="none" w:sz="0" w:space="0" w:color="auto"/>
                    <w:left w:val="none" w:sz="0" w:space="0" w:color="auto"/>
                    <w:bottom w:val="none" w:sz="0" w:space="0" w:color="auto"/>
                    <w:right w:val="none" w:sz="0" w:space="0" w:color="auto"/>
                  </w:divBdr>
                  <w:divsChild>
                    <w:div w:id="810947041">
                      <w:marLeft w:val="272"/>
                      <w:marRight w:val="0"/>
                      <w:marTop w:val="136"/>
                      <w:marBottom w:val="136"/>
                      <w:divBdr>
                        <w:top w:val="none" w:sz="0" w:space="0" w:color="auto"/>
                        <w:left w:val="none" w:sz="0" w:space="0" w:color="auto"/>
                        <w:bottom w:val="none" w:sz="0" w:space="0" w:color="auto"/>
                        <w:right w:val="none" w:sz="0" w:space="0" w:color="auto"/>
                      </w:divBdr>
                      <w:divsChild>
                        <w:div w:id="810947039">
                          <w:marLeft w:val="0"/>
                          <w:marRight w:val="0"/>
                          <w:marTop w:val="0"/>
                          <w:marBottom w:val="0"/>
                          <w:divBdr>
                            <w:top w:val="none" w:sz="0" w:space="0" w:color="auto"/>
                            <w:left w:val="none" w:sz="0" w:space="0" w:color="auto"/>
                            <w:bottom w:val="none" w:sz="0" w:space="0" w:color="auto"/>
                            <w:right w:val="none" w:sz="0" w:space="0" w:color="auto"/>
                          </w:divBdr>
                          <w:divsChild>
                            <w:div w:id="810947053">
                              <w:marLeft w:val="0"/>
                              <w:marRight w:val="0"/>
                              <w:marTop w:val="0"/>
                              <w:marBottom w:val="0"/>
                              <w:divBdr>
                                <w:top w:val="none" w:sz="0" w:space="0" w:color="auto"/>
                                <w:left w:val="none" w:sz="0" w:space="0" w:color="auto"/>
                                <w:bottom w:val="none" w:sz="0" w:space="0" w:color="auto"/>
                                <w:right w:val="none" w:sz="0" w:space="0" w:color="auto"/>
                              </w:divBdr>
                              <w:divsChild>
                                <w:div w:id="810947045">
                                  <w:marLeft w:val="0"/>
                                  <w:marRight w:val="0"/>
                                  <w:marTop w:val="0"/>
                                  <w:marBottom w:val="0"/>
                                  <w:divBdr>
                                    <w:top w:val="none" w:sz="0" w:space="0" w:color="auto"/>
                                    <w:left w:val="none" w:sz="0" w:space="0" w:color="auto"/>
                                    <w:bottom w:val="none" w:sz="0" w:space="0" w:color="auto"/>
                                    <w:right w:val="none" w:sz="0" w:space="0" w:color="auto"/>
                                  </w:divBdr>
                                  <w:divsChild>
                                    <w:div w:id="810947074">
                                      <w:marLeft w:val="0"/>
                                      <w:marRight w:val="0"/>
                                      <w:marTop w:val="0"/>
                                      <w:marBottom w:val="0"/>
                                      <w:divBdr>
                                        <w:top w:val="none" w:sz="0" w:space="0" w:color="auto"/>
                                        <w:left w:val="none" w:sz="0" w:space="0" w:color="auto"/>
                                        <w:bottom w:val="none" w:sz="0" w:space="0" w:color="auto"/>
                                        <w:right w:val="none" w:sz="0" w:space="0" w:color="auto"/>
                                      </w:divBdr>
                                      <w:divsChild>
                                        <w:div w:id="810947079">
                                          <w:marLeft w:val="0"/>
                                          <w:marRight w:val="0"/>
                                          <w:marTop w:val="0"/>
                                          <w:marBottom w:val="0"/>
                                          <w:divBdr>
                                            <w:top w:val="none" w:sz="0" w:space="0" w:color="auto"/>
                                            <w:left w:val="none" w:sz="0" w:space="0" w:color="auto"/>
                                            <w:bottom w:val="none" w:sz="0" w:space="0" w:color="auto"/>
                                            <w:right w:val="none" w:sz="0" w:space="0" w:color="auto"/>
                                          </w:divBdr>
                                          <w:divsChild>
                                            <w:div w:id="810947047">
                                              <w:marLeft w:val="0"/>
                                              <w:marRight w:val="0"/>
                                              <w:marTop w:val="0"/>
                                              <w:marBottom w:val="0"/>
                                              <w:divBdr>
                                                <w:top w:val="none" w:sz="0" w:space="0" w:color="auto"/>
                                                <w:left w:val="none" w:sz="0" w:space="0" w:color="auto"/>
                                                <w:bottom w:val="none" w:sz="0" w:space="0" w:color="auto"/>
                                                <w:right w:val="none" w:sz="0" w:space="0" w:color="auto"/>
                                              </w:divBdr>
                                              <w:divsChild>
                                                <w:div w:id="810947076">
                                                  <w:marLeft w:val="0"/>
                                                  <w:marRight w:val="0"/>
                                                  <w:marTop w:val="0"/>
                                                  <w:marBottom w:val="0"/>
                                                  <w:divBdr>
                                                    <w:top w:val="none" w:sz="0" w:space="0" w:color="auto"/>
                                                    <w:left w:val="none" w:sz="0" w:space="0" w:color="auto"/>
                                                    <w:bottom w:val="none" w:sz="0" w:space="0" w:color="auto"/>
                                                    <w:right w:val="none" w:sz="0" w:space="0" w:color="auto"/>
                                                  </w:divBdr>
                                                  <w:divsChild>
                                                    <w:div w:id="810947080">
                                                      <w:marLeft w:val="0"/>
                                                      <w:marRight w:val="0"/>
                                                      <w:marTop w:val="0"/>
                                                      <w:marBottom w:val="0"/>
                                                      <w:divBdr>
                                                        <w:top w:val="none" w:sz="0" w:space="0" w:color="auto"/>
                                                        <w:left w:val="none" w:sz="0" w:space="0" w:color="auto"/>
                                                        <w:bottom w:val="none" w:sz="0" w:space="0" w:color="auto"/>
                                                        <w:right w:val="none" w:sz="0" w:space="0" w:color="auto"/>
                                                      </w:divBdr>
                                                      <w:divsChild>
                                                        <w:div w:id="810947043">
                                                          <w:marLeft w:val="0"/>
                                                          <w:marRight w:val="0"/>
                                                          <w:marTop w:val="0"/>
                                                          <w:marBottom w:val="0"/>
                                                          <w:divBdr>
                                                            <w:top w:val="none" w:sz="0" w:space="0" w:color="auto"/>
                                                            <w:left w:val="none" w:sz="0" w:space="0" w:color="auto"/>
                                                            <w:bottom w:val="none" w:sz="0" w:space="0" w:color="auto"/>
                                                            <w:right w:val="none" w:sz="0" w:space="0" w:color="auto"/>
                                                          </w:divBdr>
                                                          <w:divsChild>
                                                            <w:div w:id="810947061">
                                                              <w:marLeft w:val="0"/>
                                                              <w:marRight w:val="0"/>
                                                              <w:marTop w:val="0"/>
                                                              <w:marBottom w:val="0"/>
                                                              <w:divBdr>
                                                                <w:top w:val="none" w:sz="0" w:space="0" w:color="auto"/>
                                                                <w:left w:val="none" w:sz="0" w:space="0" w:color="auto"/>
                                                                <w:bottom w:val="none" w:sz="0" w:space="0" w:color="auto"/>
                                                                <w:right w:val="none" w:sz="0" w:space="0" w:color="auto"/>
                                                              </w:divBdr>
                                                              <w:divsChild>
                                                                <w:div w:id="810947071">
                                                                  <w:marLeft w:val="0"/>
                                                                  <w:marRight w:val="0"/>
                                                                  <w:marTop w:val="0"/>
                                                                  <w:marBottom w:val="0"/>
                                                                  <w:divBdr>
                                                                    <w:top w:val="none" w:sz="0" w:space="0" w:color="auto"/>
                                                                    <w:left w:val="none" w:sz="0" w:space="0" w:color="auto"/>
                                                                    <w:bottom w:val="none" w:sz="0" w:space="0" w:color="auto"/>
                                                                    <w:right w:val="none" w:sz="0" w:space="0" w:color="auto"/>
                                                                  </w:divBdr>
                                                                  <w:divsChild>
                                                                    <w:div w:id="810947082">
                                                                      <w:marLeft w:val="0"/>
                                                                      <w:marRight w:val="0"/>
                                                                      <w:marTop w:val="0"/>
                                                                      <w:marBottom w:val="0"/>
                                                                      <w:divBdr>
                                                                        <w:top w:val="none" w:sz="0" w:space="0" w:color="auto"/>
                                                                        <w:left w:val="none" w:sz="0" w:space="0" w:color="auto"/>
                                                                        <w:bottom w:val="none" w:sz="0" w:space="0" w:color="auto"/>
                                                                        <w:right w:val="none" w:sz="0" w:space="0" w:color="auto"/>
                                                                      </w:divBdr>
                                                                      <w:divsChild>
                                                                        <w:div w:id="8109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7086">
      <w:marLeft w:val="0"/>
      <w:marRight w:val="0"/>
      <w:marTop w:val="0"/>
      <w:marBottom w:val="0"/>
      <w:divBdr>
        <w:top w:val="none" w:sz="0" w:space="0" w:color="auto"/>
        <w:left w:val="none" w:sz="0" w:space="0" w:color="auto"/>
        <w:bottom w:val="none" w:sz="0" w:space="0" w:color="auto"/>
        <w:right w:val="none" w:sz="0" w:space="0" w:color="auto"/>
      </w:divBdr>
      <w:divsChild>
        <w:div w:id="810947069">
          <w:marLeft w:val="0"/>
          <w:marRight w:val="0"/>
          <w:marTop w:val="0"/>
          <w:marBottom w:val="0"/>
          <w:divBdr>
            <w:top w:val="none" w:sz="0" w:space="0" w:color="auto"/>
            <w:left w:val="none" w:sz="0" w:space="0" w:color="auto"/>
            <w:bottom w:val="none" w:sz="0" w:space="0" w:color="auto"/>
            <w:right w:val="none" w:sz="0" w:space="0" w:color="auto"/>
          </w:divBdr>
          <w:divsChild>
            <w:div w:id="810947060">
              <w:marLeft w:val="0"/>
              <w:marRight w:val="0"/>
              <w:marTop w:val="0"/>
              <w:marBottom w:val="0"/>
              <w:divBdr>
                <w:top w:val="none" w:sz="0" w:space="0" w:color="auto"/>
                <w:left w:val="none" w:sz="0" w:space="0" w:color="auto"/>
                <w:bottom w:val="none" w:sz="0" w:space="0" w:color="auto"/>
                <w:right w:val="none" w:sz="0" w:space="0" w:color="auto"/>
              </w:divBdr>
              <w:divsChild>
                <w:div w:id="810947087">
                  <w:marLeft w:val="0"/>
                  <w:marRight w:val="0"/>
                  <w:marTop w:val="0"/>
                  <w:marBottom w:val="0"/>
                  <w:divBdr>
                    <w:top w:val="none" w:sz="0" w:space="0" w:color="auto"/>
                    <w:left w:val="none" w:sz="0" w:space="0" w:color="auto"/>
                    <w:bottom w:val="none" w:sz="0" w:space="0" w:color="auto"/>
                    <w:right w:val="none" w:sz="0" w:space="0" w:color="auto"/>
                  </w:divBdr>
                  <w:divsChild>
                    <w:div w:id="810947064">
                      <w:marLeft w:val="272"/>
                      <w:marRight w:val="0"/>
                      <w:marTop w:val="136"/>
                      <w:marBottom w:val="136"/>
                      <w:divBdr>
                        <w:top w:val="none" w:sz="0" w:space="0" w:color="auto"/>
                        <w:left w:val="none" w:sz="0" w:space="0" w:color="auto"/>
                        <w:bottom w:val="none" w:sz="0" w:space="0" w:color="auto"/>
                        <w:right w:val="none" w:sz="0" w:space="0" w:color="auto"/>
                      </w:divBdr>
                      <w:divsChild>
                        <w:div w:id="810947088">
                          <w:marLeft w:val="0"/>
                          <w:marRight w:val="0"/>
                          <w:marTop w:val="0"/>
                          <w:marBottom w:val="0"/>
                          <w:divBdr>
                            <w:top w:val="none" w:sz="0" w:space="0" w:color="auto"/>
                            <w:left w:val="none" w:sz="0" w:space="0" w:color="auto"/>
                            <w:bottom w:val="none" w:sz="0" w:space="0" w:color="auto"/>
                            <w:right w:val="none" w:sz="0" w:space="0" w:color="auto"/>
                          </w:divBdr>
                          <w:divsChild>
                            <w:div w:id="810947046">
                              <w:marLeft w:val="0"/>
                              <w:marRight w:val="0"/>
                              <w:marTop w:val="0"/>
                              <w:marBottom w:val="0"/>
                              <w:divBdr>
                                <w:top w:val="none" w:sz="0" w:space="0" w:color="auto"/>
                                <w:left w:val="none" w:sz="0" w:space="0" w:color="auto"/>
                                <w:bottom w:val="none" w:sz="0" w:space="0" w:color="auto"/>
                                <w:right w:val="none" w:sz="0" w:space="0" w:color="auto"/>
                              </w:divBdr>
                              <w:divsChild>
                                <w:div w:id="810947066">
                                  <w:marLeft w:val="0"/>
                                  <w:marRight w:val="0"/>
                                  <w:marTop w:val="0"/>
                                  <w:marBottom w:val="0"/>
                                  <w:divBdr>
                                    <w:top w:val="none" w:sz="0" w:space="0" w:color="auto"/>
                                    <w:left w:val="none" w:sz="0" w:space="0" w:color="auto"/>
                                    <w:bottom w:val="none" w:sz="0" w:space="0" w:color="auto"/>
                                    <w:right w:val="none" w:sz="0" w:space="0" w:color="auto"/>
                                  </w:divBdr>
                                  <w:divsChild>
                                    <w:div w:id="810947073">
                                      <w:marLeft w:val="0"/>
                                      <w:marRight w:val="0"/>
                                      <w:marTop w:val="0"/>
                                      <w:marBottom w:val="0"/>
                                      <w:divBdr>
                                        <w:top w:val="none" w:sz="0" w:space="0" w:color="auto"/>
                                        <w:left w:val="none" w:sz="0" w:space="0" w:color="auto"/>
                                        <w:bottom w:val="none" w:sz="0" w:space="0" w:color="auto"/>
                                        <w:right w:val="none" w:sz="0" w:space="0" w:color="auto"/>
                                      </w:divBdr>
                                      <w:divsChild>
                                        <w:div w:id="810947083">
                                          <w:marLeft w:val="0"/>
                                          <w:marRight w:val="0"/>
                                          <w:marTop w:val="0"/>
                                          <w:marBottom w:val="0"/>
                                          <w:divBdr>
                                            <w:top w:val="none" w:sz="0" w:space="0" w:color="auto"/>
                                            <w:left w:val="none" w:sz="0" w:space="0" w:color="auto"/>
                                            <w:bottom w:val="none" w:sz="0" w:space="0" w:color="auto"/>
                                            <w:right w:val="none" w:sz="0" w:space="0" w:color="auto"/>
                                          </w:divBdr>
                                          <w:divsChild>
                                            <w:div w:id="810947059">
                                              <w:marLeft w:val="0"/>
                                              <w:marRight w:val="0"/>
                                              <w:marTop w:val="0"/>
                                              <w:marBottom w:val="0"/>
                                              <w:divBdr>
                                                <w:top w:val="none" w:sz="0" w:space="0" w:color="auto"/>
                                                <w:left w:val="none" w:sz="0" w:space="0" w:color="auto"/>
                                                <w:bottom w:val="none" w:sz="0" w:space="0" w:color="auto"/>
                                                <w:right w:val="none" w:sz="0" w:space="0" w:color="auto"/>
                                              </w:divBdr>
                                              <w:divsChild>
                                                <w:div w:id="810947078">
                                                  <w:marLeft w:val="0"/>
                                                  <w:marRight w:val="0"/>
                                                  <w:marTop w:val="0"/>
                                                  <w:marBottom w:val="0"/>
                                                  <w:divBdr>
                                                    <w:top w:val="none" w:sz="0" w:space="0" w:color="auto"/>
                                                    <w:left w:val="none" w:sz="0" w:space="0" w:color="auto"/>
                                                    <w:bottom w:val="none" w:sz="0" w:space="0" w:color="auto"/>
                                                    <w:right w:val="none" w:sz="0" w:space="0" w:color="auto"/>
                                                  </w:divBdr>
                                                  <w:divsChild>
                                                    <w:div w:id="810947056">
                                                      <w:marLeft w:val="0"/>
                                                      <w:marRight w:val="0"/>
                                                      <w:marTop w:val="0"/>
                                                      <w:marBottom w:val="0"/>
                                                      <w:divBdr>
                                                        <w:top w:val="none" w:sz="0" w:space="0" w:color="auto"/>
                                                        <w:left w:val="none" w:sz="0" w:space="0" w:color="auto"/>
                                                        <w:bottom w:val="none" w:sz="0" w:space="0" w:color="auto"/>
                                                        <w:right w:val="none" w:sz="0" w:space="0" w:color="auto"/>
                                                      </w:divBdr>
                                                      <w:divsChild>
                                                        <w:div w:id="810947084">
                                                          <w:marLeft w:val="0"/>
                                                          <w:marRight w:val="0"/>
                                                          <w:marTop w:val="0"/>
                                                          <w:marBottom w:val="0"/>
                                                          <w:divBdr>
                                                            <w:top w:val="none" w:sz="0" w:space="0" w:color="auto"/>
                                                            <w:left w:val="none" w:sz="0" w:space="0" w:color="auto"/>
                                                            <w:bottom w:val="none" w:sz="0" w:space="0" w:color="auto"/>
                                                            <w:right w:val="none" w:sz="0" w:space="0" w:color="auto"/>
                                                          </w:divBdr>
                                                          <w:divsChild>
                                                            <w:div w:id="810947055">
                                                              <w:marLeft w:val="0"/>
                                                              <w:marRight w:val="0"/>
                                                              <w:marTop w:val="0"/>
                                                              <w:marBottom w:val="0"/>
                                                              <w:divBdr>
                                                                <w:top w:val="none" w:sz="0" w:space="0" w:color="auto"/>
                                                                <w:left w:val="none" w:sz="0" w:space="0" w:color="auto"/>
                                                                <w:bottom w:val="none" w:sz="0" w:space="0" w:color="auto"/>
                                                                <w:right w:val="none" w:sz="0" w:space="0" w:color="auto"/>
                                                              </w:divBdr>
                                                              <w:divsChild>
                                                                <w:div w:id="810947085">
                                                                  <w:marLeft w:val="0"/>
                                                                  <w:marRight w:val="0"/>
                                                                  <w:marTop w:val="0"/>
                                                                  <w:marBottom w:val="0"/>
                                                                  <w:divBdr>
                                                                    <w:top w:val="none" w:sz="0" w:space="0" w:color="auto"/>
                                                                    <w:left w:val="none" w:sz="0" w:space="0" w:color="auto"/>
                                                                    <w:bottom w:val="none" w:sz="0" w:space="0" w:color="auto"/>
                                                                    <w:right w:val="none" w:sz="0" w:space="0" w:color="auto"/>
                                                                  </w:divBdr>
                                                                  <w:divsChild>
                                                                    <w:div w:id="810947051">
                                                                      <w:marLeft w:val="0"/>
                                                                      <w:marRight w:val="0"/>
                                                                      <w:marTop w:val="0"/>
                                                                      <w:marBottom w:val="0"/>
                                                                      <w:divBdr>
                                                                        <w:top w:val="none" w:sz="0" w:space="0" w:color="auto"/>
                                                                        <w:left w:val="none" w:sz="0" w:space="0" w:color="auto"/>
                                                                        <w:bottom w:val="none" w:sz="0" w:space="0" w:color="auto"/>
                                                                        <w:right w:val="none" w:sz="0" w:space="0" w:color="auto"/>
                                                                      </w:divBdr>
                                                                      <w:divsChild>
                                                                        <w:div w:id="810947065">
                                                                          <w:marLeft w:val="0"/>
                                                                          <w:marRight w:val="0"/>
                                                                          <w:marTop w:val="0"/>
                                                                          <w:marBottom w:val="0"/>
                                                                          <w:divBdr>
                                                                            <w:top w:val="none" w:sz="0" w:space="0" w:color="auto"/>
                                                                            <w:left w:val="none" w:sz="0" w:space="0" w:color="auto"/>
                                                                            <w:bottom w:val="none" w:sz="0" w:space="0" w:color="auto"/>
                                                                            <w:right w:val="none" w:sz="0" w:space="0" w:color="auto"/>
                                                                          </w:divBdr>
                                                                          <w:divsChild>
                                                                            <w:div w:id="810947072">
                                                                              <w:marLeft w:val="0"/>
                                                                              <w:marRight w:val="0"/>
                                                                              <w:marTop w:val="0"/>
                                                                              <w:marBottom w:val="0"/>
                                                                              <w:divBdr>
                                                                                <w:top w:val="none" w:sz="0" w:space="0" w:color="auto"/>
                                                                                <w:left w:val="none" w:sz="0" w:space="0" w:color="auto"/>
                                                                                <w:bottom w:val="none" w:sz="0" w:space="0" w:color="auto"/>
                                                                                <w:right w:val="none" w:sz="0" w:space="0" w:color="auto"/>
                                                                              </w:divBdr>
                                                                              <w:divsChild>
                                                                                <w:div w:id="810947054">
                                                                                  <w:marLeft w:val="0"/>
                                                                                  <w:marRight w:val="0"/>
                                                                                  <w:marTop w:val="0"/>
                                                                                  <w:marBottom w:val="0"/>
                                                                                  <w:divBdr>
                                                                                    <w:top w:val="none" w:sz="0" w:space="0" w:color="auto"/>
                                                                                    <w:left w:val="none" w:sz="0" w:space="0" w:color="auto"/>
                                                                                    <w:bottom w:val="none" w:sz="0" w:space="0" w:color="auto"/>
                                                                                    <w:right w:val="none" w:sz="0" w:space="0" w:color="auto"/>
                                                                                  </w:divBdr>
                                                                                  <w:divsChild>
                                                                                    <w:div w:id="810947044">
                                                                                      <w:marLeft w:val="0"/>
                                                                                      <w:marRight w:val="0"/>
                                                                                      <w:marTop w:val="0"/>
                                                                                      <w:marBottom w:val="0"/>
                                                                                      <w:divBdr>
                                                                                        <w:top w:val="none" w:sz="0" w:space="0" w:color="auto"/>
                                                                                        <w:left w:val="none" w:sz="0" w:space="0" w:color="auto"/>
                                                                                        <w:bottom w:val="none" w:sz="0" w:space="0" w:color="auto"/>
                                                                                        <w:right w:val="none" w:sz="0" w:space="0" w:color="auto"/>
                                                                                      </w:divBdr>
                                                                                      <w:divsChild>
                                                                                        <w:div w:id="810947068">
                                                                                          <w:marLeft w:val="0"/>
                                                                                          <w:marRight w:val="0"/>
                                                                                          <w:marTop w:val="0"/>
                                                                                          <w:marBottom w:val="0"/>
                                                                                          <w:divBdr>
                                                                                            <w:top w:val="none" w:sz="0" w:space="0" w:color="auto"/>
                                                                                            <w:left w:val="none" w:sz="0" w:space="0" w:color="auto"/>
                                                                                            <w:bottom w:val="none" w:sz="0" w:space="0" w:color="auto"/>
                                                                                            <w:right w:val="none" w:sz="0" w:space="0" w:color="auto"/>
                                                                                          </w:divBdr>
                                                                                          <w:divsChild>
                                                                                            <w:div w:id="810947040">
                                                                                              <w:marLeft w:val="0"/>
                                                                                              <w:marRight w:val="0"/>
                                                                                              <w:marTop w:val="0"/>
                                                                                              <w:marBottom w:val="0"/>
                                                                                              <w:divBdr>
                                                                                                <w:top w:val="none" w:sz="0" w:space="0" w:color="auto"/>
                                                                                                <w:left w:val="none" w:sz="0" w:space="0" w:color="auto"/>
                                                                                                <w:bottom w:val="none" w:sz="0" w:space="0" w:color="auto"/>
                                                                                                <w:right w:val="none" w:sz="0" w:space="0" w:color="auto"/>
                                                                                              </w:divBdr>
                                                                                              <w:divsChild>
                                                                                                <w:div w:id="810947089">
                                                                                                  <w:marLeft w:val="0"/>
                                                                                                  <w:marRight w:val="0"/>
                                                                                                  <w:marTop w:val="0"/>
                                                                                                  <w:marBottom w:val="0"/>
                                                                                                  <w:divBdr>
                                                                                                    <w:top w:val="none" w:sz="0" w:space="0" w:color="auto"/>
                                                                                                    <w:left w:val="none" w:sz="0" w:space="0" w:color="auto"/>
                                                                                                    <w:bottom w:val="none" w:sz="0" w:space="0" w:color="auto"/>
                                                                                                    <w:right w:val="none" w:sz="0" w:space="0" w:color="auto"/>
                                                                                                  </w:divBdr>
                                                                                                  <w:divsChild>
                                                                                                    <w:div w:id="810947070">
                                                                                                      <w:marLeft w:val="0"/>
                                                                                                      <w:marRight w:val="0"/>
                                                                                                      <w:marTop w:val="0"/>
                                                                                                      <w:marBottom w:val="0"/>
                                                                                                      <w:divBdr>
                                                                                                        <w:top w:val="none" w:sz="0" w:space="0" w:color="auto"/>
                                                                                                        <w:left w:val="none" w:sz="0" w:space="0" w:color="auto"/>
                                                                                                        <w:bottom w:val="none" w:sz="0" w:space="0" w:color="auto"/>
                                                                                                        <w:right w:val="none" w:sz="0" w:space="0" w:color="auto"/>
                                                                                                      </w:divBdr>
                                                                                                      <w:divsChild>
                                                                                                        <w:div w:id="810947063">
                                                                                                          <w:marLeft w:val="0"/>
                                                                                                          <w:marRight w:val="0"/>
                                                                                                          <w:marTop w:val="0"/>
                                                                                                          <w:marBottom w:val="0"/>
                                                                                                          <w:divBdr>
                                                                                                            <w:top w:val="none" w:sz="0" w:space="0" w:color="auto"/>
                                                                                                            <w:left w:val="none" w:sz="0" w:space="0" w:color="auto"/>
                                                                                                            <w:bottom w:val="none" w:sz="0" w:space="0" w:color="auto"/>
                                                                                                            <w:right w:val="none" w:sz="0" w:space="0" w:color="auto"/>
                                                                                                          </w:divBdr>
                                                                                                          <w:divsChild>
                                                                                                            <w:div w:id="810947038">
                                                                                                              <w:marLeft w:val="0"/>
                                                                                                              <w:marRight w:val="0"/>
                                                                                                              <w:marTop w:val="0"/>
                                                                                                              <w:marBottom w:val="0"/>
                                                                                                              <w:divBdr>
                                                                                                                <w:top w:val="none" w:sz="0" w:space="0" w:color="auto"/>
                                                                                                                <w:left w:val="none" w:sz="0" w:space="0" w:color="auto"/>
                                                                                                                <w:bottom w:val="none" w:sz="0" w:space="0" w:color="auto"/>
                                                                                                                <w:right w:val="none" w:sz="0" w:space="0" w:color="auto"/>
                                                                                                              </w:divBdr>
                                                                                                              <w:divsChild>
                                                                                                                <w:div w:id="810947058">
                                                                                                                  <w:marLeft w:val="0"/>
                                                                                                                  <w:marRight w:val="0"/>
                                                                                                                  <w:marTop w:val="0"/>
                                                                                                                  <w:marBottom w:val="0"/>
                                                                                                                  <w:divBdr>
                                                                                                                    <w:top w:val="none" w:sz="0" w:space="0" w:color="auto"/>
                                                                                                                    <w:left w:val="none" w:sz="0" w:space="0" w:color="auto"/>
                                                                                                                    <w:bottom w:val="none" w:sz="0" w:space="0" w:color="auto"/>
                                                                                                                    <w:right w:val="none" w:sz="0" w:space="0" w:color="auto"/>
                                                                                                                  </w:divBdr>
                                                                                                                  <w:divsChild>
                                                                                                                    <w:div w:id="810947052">
                                                                                                                      <w:marLeft w:val="0"/>
                                                                                                                      <w:marRight w:val="0"/>
                                                                                                                      <w:marTop w:val="0"/>
                                                                                                                      <w:marBottom w:val="0"/>
                                                                                                                      <w:divBdr>
                                                                                                                        <w:top w:val="none" w:sz="0" w:space="0" w:color="auto"/>
                                                                                                                        <w:left w:val="none" w:sz="0" w:space="0" w:color="auto"/>
                                                                                                                        <w:bottom w:val="none" w:sz="0" w:space="0" w:color="auto"/>
                                                                                                                        <w:right w:val="none" w:sz="0" w:space="0" w:color="auto"/>
                                                                                                                      </w:divBdr>
                                                                                                                      <w:divsChild>
                                                                                                                        <w:div w:id="810947042">
                                                                                                                          <w:marLeft w:val="0"/>
                                                                                                                          <w:marRight w:val="0"/>
                                                                                                                          <w:marTop w:val="0"/>
                                                                                                                          <w:marBottom w:val="0"/>
                                                                                                                          <w:divBdr>
                                                                                                                            <w:top w:val="none" w:sz="0" w:space="0" w:color="auto"/>
                                                                                                                            <w:left w:val="none" w:sz="0" w:space="0" w:color="auto"/>
                                                                                                                            <w:bottom w:val="none" w:sz="0" w:space="0" w:color="auto"/>
                                                                                                                            <w:right w:val="none" w:sz="0" w:space="0" w:color="auto"/>
                                                                                                                          </w:divBdr>
                                                                                                                          <w:divsChild>
                                                                                                                            <w:div w:id="8109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ancierworldwide.com/article_printable.php?id=8480" TargetMode="External"/><Relationship Id="rId13" Type="http://schemas.openxmlformats.org/officeDocument/2006/relationships/hyperlink" Target="http://www.sec.gov/investor/alerts/reversemergers.pdf" TargetMode="External"/><Relationship Id="rId3" Type="http://schemas.openxmlformats.org/officeDocument/2006/relationships/settings" Target="settings.xml"/><Relationship Id="rId7" Type="http://schemas.openxmlformats.org/officeDocument/2006/relationships/hyperlink" Target="http://moneymorning.com/2009/05/06/china-investment-risks/" TargetMode="External"/><Relationship Id="rId12" Type="http://schemas.openxmlformats.org/officeDocument/2006/relationships/hyperlink" Target="http://currents.westlawbusiness.com/Article.aspx?id=138ad2fb-4278-4ca9-ad57-e02055751f3d&amp;cid=&amp;src=&amp;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ternationalinvest.about.com/od/globalmarkets101/a/The-Ultimate-Guide-To-Investing-In-China.htm" TargetMode="External"/><Relationship Id="rId11" Type="http://schemas.openxmlformats.org/officeDocument/2006/relationships/hyperlink" Target="http://pcaobus.org/Research/Documents/Chinese_Reverse_Merger_Research_Note.pdf" TargetMode="External"/><Relationship Id="rId5" Type="http://schemas.openxmlformats.org/officeDocument/2006/relationships/hyperlink" Target="http://blogs.smeal.psu.edu/grumpyoldaccountants/archives/474" TargetMode="External"/><Relationship Id="rId15" Type="http://schemas.openxmlformats.org/officeDocument/2006/relationships/hyperlink" Target="http://www.investopedia.com/terms/b/beneishmodel.asp" TargetMode="External"/><Relationship Id="rId10" Type="http://schemas.openxmlformats.org/officeDocument/2006/relationships/hyperlink" Target="http://www.thereformedbroker.com/2011/07/24/anatomy-of-a-chinese-reverse-merger-scam/" TargetMode="External"/><Relationship Id="rId4" Type="http://schemas.openxmlformats.org/officeDocument/2006/relationships/webSettings" Target="webSettings.xml"/><Relationship Id="rId9" Type="http://schemas.openxmlformats.org/officeDocument/2006/relationships/hyperlink" Target="http://www.reuters.com/article/2011/09/30/us-china-usa-accounting-idUSTRE78S3QM20110930" TargetMode="External"/><Relationship Id="rId14" Type="http://schemas.openxmlformats.org/officeDocument/2006/relationships/hyperlink" Target="http://www.integra-international.net/articles/home/show/4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THE FEDERAL GOVERNMENT IN TEN WORDS</vt:lpstr>
    </vt:vector>
  </TitlesOfParts>
  <Company>Villanova University</Company>
  <LinksUpToDate>false</LinksUpToDate>
  <CharactersWithSpaces>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FEDERAL GOVERNMENT IN TEN WORDS</dc:title>
  <dc:creator>Anthony Catanach</dc:creator>
  <cp:lastModifiedBy>Ed Ketz</cp:lastModifiedBy>
  <cp:revision>2</cp:revision>
  <cp:lastPrinted>2011-08-13T14:23:00Z</cp:lastPrinted>
  <dcterms:created xsi:type="dcterms:W3CDTF">2012-01-10T13:29:00Z</dcterms:created>
  <dcterms:modified xsi:type="dcterms:W3CDTF">2012-01-10T13:29:00Z</dcterms:modified>
</cp:coreProperties>
</file>