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4B780F" w:rsidP="00E81155">
      <w:pPr>
        <w:rPr>
          <w:rFonts w:ascii="Arial" w:hAnsi="Arial" w:cs="Arial"/>
          <w:b/>
          <w:sz w:val="28"/>
          <w:szCs w:val="28"/>
        </w:rPr>
      </w:pPr>
      <w:r>
        <w:rPr>
          <w:rFonts w:ascii="Arial" w:hAnsi="Arial" w:cs="Arial"/>
          <w:b/>
          <w:sz w:val="28"/>
          <w:szCs w:val="28"/>
        </w:rPr>
        <w:t>ARE 4</w:t>
      </w:r>
      <w:r w:rsidRPr="004B780F">
        <w:rPr>
          <w:rFonts w:ascii="Arial" w:hAnsi="Arial" w:cs="Arial"/>
          <w:b/>
          <w:sz w:val="28"/>
          <w:szCs w:val="28"/>
          <w:vertAlign w:val="superscript"/>
        </w:rPr>
        <w:t>TH</w:t>
      </w:r>
      <w:r>
        <w:rPr>
          <w:rFonts w:ascii="Arial" w:hAnsi="Arial" w:cs="Arial"/>
          <w:b/>
          <w:sz w:val="28"/>
          <w:szCs w:val="28"/>
        </w:rPr>
        <w:t xml:space="preserve"> QUARTER WRITE-OFFS LOOMING FOR DELOITTE’S CLIENTS?</w:t>
      </w:r>
    </w:p>
    <w:p w:rsidR="00C878FF" w:rsidRDefault="00C878FF" w:rsidP="00E81155">
      <w:pPr>
        <w:rPr>
          <w:rFonts w:ascii="Arial" w:hAnsi="Arial" w:cs="Arial"/>
          <w:b/>
          <w:i/>
          <w:sz w:val="24"/>
          <w:szCs w:val="24"/>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917AE5">
        <w:rPr>
          <w:rFonts w:ascii="Arial" w:hAnsi="Arial" w:cs="Arial"/>
          <w:b/>
          <w:i/>
          <w:sz w:val="24"/>
          <w:szCs w:val="24"/>
        </w:rPr>
        <w:t>November</w:t>
      </w:r>
      <w:r w:rsidR="00080D90">
        <w:rPr>
          <w:rFonts w:ascii="Arial" w:hAnsi="Arial" w:cs="Arial"/>
          <w:b/>
          <w:i/>
          <w:sz w:val="24"/>
          <w:szCs w:val="24"/>
        </w:rPr>
        <w:t xml:space="preserve"> </w:t>
      </w:r>
      <w:r>
        <w:rPr>
          <w:rFonts w:ascii="Arial" w:hAnsi="Arial" w:cs="Arial"/>
          <w:b/>
          <w:i/>
          <w:sz w:val="24"/>
          <w:szCs w:val="24"/>
        </w:rPr>
        <w:t>2011</w:t>
      </w:r>
    </w:p>
    <w:p w:rsidR="0050716A" w:rsidRDefault="0050716A" w:rsidP="00D7299A">
      <w:pPr>
        <w:rPr>
          <w:rFonts w:ascii="Verdana" w:hAnsi="Verdana"/>
          <w:sz w:val="24"/>
          <w:szCs w:val="24"/>
        </w:rPr>
      </w:pPr>
    </w:p>
    <w:p w:rsidR="00C878FF" w:rsidRDefault="00C878FF" w:rsidP="00D7299A">
      <w:pPr>
        <w:rPr>
          <w:rFonts w:ascii="Verdana" w:hAnsi="Verdana"/>
          <w:sz w:val="24"/>
          <w:szCs w:val="24"/>
        </w:rPr>
      </w:pPr>
    </w:p>
    <w:p w:rsidR="00B230C6" w:rsidRDefault="00B230C6" w:rsidP="00041249">
      <w:pPr>
        <w:rPr>
          <w:rFonts w:ascii="Verdana" w:hAnsi="Verdana"/>
          <w:sz w:val="24"/>
          <w:szCs w:val="24"/>
        </w:rPr>
      </w:pPr>
      <w:r>
        <w:rPr>
          <w:rFonts w:ascii="Verdana" w:hAnsi="Verdana"/>
          <w:sz w:val="24"/>
          <w:szCs w:val="24"/>
        </w:rPr>
        <w:t xml:space="preserve">The Big Four accounting firms (Deloitte, Ernst &amp; Young, KPMG, </w:t>
      </w:r>
      <w:r w:rsidR="00041249">
        <w:rPr>
          <w:rFonts w:ascii="Verdana" w:hAnsi="Verdana"/>
          <w:sz w:val="24"/>
          <w:szCs w:val="24"/>
        </w:rPr>
        <w:t xml:space="preserve">and </w:t>
      </w:r>
      <w:r>
        <w:rPr>
          <w:rFonts w:ascii="Verdana" w:hAnsi="Verdana"/>
          <w:sz w:val="24"/>
          <w:szCs w:val="24"/>
        </w:rPr>
        <w:t>PricewaterhouseCoopers) have filled the popular press this past year with numerous examples of their poor auditing practices.  But the past month has been particularly bad for these “</w:t>
      </w:r>
      <w:hyperlink r:id="rId5" w:history="1">
        <w:r w:rsidRPr="00B230C6">
          <w:rPr>
            <w:rStyle w:val="Hyperlink"/>
            <w:rFonts w:ascii="Verdana" w:hAnsi="Verdana"/>
            <w:sz w:val="24"/>
            <w:szCs w:val="24"/>
          </w:rPr>
          <w:t>’gatekeepers’ to the public securities markets</w:t>
        </w:r>
      </w:hyperlink>
      <w:r>
        <w:rPr>
          <w:rFonts w:ascii="Verdana" w:hAnsi="Verdana"/>
          <w:sz w:val="24"/>
          <w:szCs w:val="24"/>
        </w:rPr>
        <w:t xml:space="preserve">.” </w:t>
      </w:r>
      <w:r w:rsidR="004B780F">
        <w:rPr>
          <w:rFonts w:ascii="Verdana" w:hAnsi="Verdana"/>
          <w:sz w:val="24"/>
          <w:szCs w:val="24"/>
        </w:rPr>
        <w:t>The auditing practices of the Big Four are once again on the front</w:t>
      </w:r>
      <w:r w:rsidR="008F0E6C">
        <w:rPr>
          <w:rFonts w:ascii="Verdana" w:hAnsi="Verdana"/>
          <w:sz w:val="24"/>
          <w:szCs w:val="24"/>
        </w:rPr>
        <w:t xml:space="preserve"> page</w:t>
      </w:r>
      <w:r w:rsidR="004B780F">
        <w:rPr>
          <w:rFonts w:ascii="Verdana" w:hAnsi="Verdana"/>
          <w:sz w:val="24"/>
          <w:szCs w:val="24"/>
        </w:rPr>
        <w:t xml:space="preserve"> as Ernst &amp; Young, KPMG, and PricewaterhouseCoopers now must explain their audits at </w:t>
      </w:r>
      <w:hyperlink r:id="rId6" w:history="1">
        <w:r w:rsidR="004B780F" w:rsidRPr="004B780F">
          <w:rPr>
            <w:rStyle w:val="Hyperlink"/>
            <w:rFonts w:ascii="Verdana" w:hAnsi="Verdana"/>
            <w:sz w:val="24"/>
            <w:szCs w:val="24"/>
          </w:rPr>
          <w:t>MF Global</w:t>
        </w:r>
      </w:hyperlink>
      <w:r w:rsidR="004B780F">
        <w:rPr>
          <w:rFonts w:ascii="Verdana" w:hAnsi="Verdana"/>
          <w:sz w:val="24"/>
          <w:szCs w:val="24"/>
        </w:rPr>
        <w:t xml:space="preserve"> and </w:t>
      </w:r>
      <w:hyperlink r:id="rId7" w:history="1">
        <w:r w:rsidR="004B780F" w:rsidRPr="00A3579D">
          <w:rPr>
            <w:rStyle w:val="Hyperlink"/>
            <w:rFonts w:ascii="Verdana" w:hAnsi="Verdana"/>
            <w:sz w:val="24"/>
            <w:szCs w:val="24"/>
          </w:rPr>
          <w:t>Olympus</w:t>
        </w:r>
      </w:hyperlink>
      <w:r w:rsidR="004B780F">
        <w:rPr>
          <w:rFonts w:ascii="Verdana" w:hAnsi="Verdana"/>
          <w:sz w:val="24"/>
          <w:szCs w:val="24"/>
        </w:rPr>
        <w:t>.</w:t>
      </w:r>
      <w:r w:rsidR="00003FE2">
        <w:rPr>
          <w:rFonts w:ascii="Verdana" w:hAnsi="Verdana"/>
          <w:sz w:val="24"/>
          <w:szCs w:val="24"/>
        </w:rPr>
        <w:t xml:space="preserve">  </w:t>
      </w:r>
      <w:r w:rsidR="00465E73">
        <w:rPr>
          <w:rFonts w:ascii="Verdana" w:hAnsi="Verdana"/>
          <w:sz w:val="24"/>
          <w:szCs w:val="24"/>
        </w:rPr>
        <w:t xml:space="preserve">And Deloitte is still reeling from its public humiliation at having its </w:t>
      </w:r>
      <w:hyperlink r:id="rId8" w:history="1">
        <w:r w:rsidR="00465E73" w:rsidRPr="00A3579D">
          <w:rPr>
            <w:rStyle w:val="Hyperlink"/>
            <w:rFonts w:ascii="Verdana" w:hAnsi="Verdana"/>
            <w:sz w:val="24"/>
            <w:szCs w:val="24"/>
          </w:rPr>
          <w:t>weak quality control procedures</w:t>
        </w:r>
      </w:hyperlink>
      <w:r w:rsidR="00C04C25">
        <w:rPr>
          <w:rFonts w:ascii="Verdana" w:hAnsi="Verdana"/>
          <w:sz w:val="24"/>
          <w:szCs w:val="24"/>
        </w:rPr>
        <w:t xml:space="preserve"> exposed</w:t>
      </w:r>
      <w:r w:rsidR="00465E73">
        <w:rPr>
          <w:rFonts w:ascii="Verdana" w:hAnsi="Verdana"/>
          <w:sz w:val="24"/>
          <w:szCs w:val="24"/>
        </w:rPr>
        <w:t xml:space="preserve"> by the Public Company Accounting Oversight Board (PCAOB).</w:t>
      </w:r>
      <w:r w:rsidR="00465E73" w:rsidRPr="00003FE2">
        <w:rPr>
          <w:rFonts w:ascii="Verdana" w:hAnsi="Verdana"/>
          <w:sz w:val="24"/>
          <w:szCs w:val="24"/>
        </w:rPr>
        <w:t xml:space="preserve"> </w:t>
      </w:r>
      <w:r w:rsidR="00003FE2">
        <w:rPr>
          <w:rFonts w:ascii="Verdana" w:hAnsi="Verdana"/>
          <w:sz w:val="24"/>
          <w:szCs w:val="24"/>
        </w:rPr>
        <w:t xml:space="preserve">These new cases simply </w:t>
      </w:r>
      <w:r w:rsidR="00C04C25">
        <w:rPr>
          <w:rFonts w:ascii="Verdana" w:hAnsi="Verdana"/>
          <w:sz w:val="24"/>
          <w:szCs w:val="24"/>
        </w:rPr>
        <w:t xml:space="preserve">support </w:t>
      </w:r>
      <w:r w:rsidR="00003FE2">
        <w:rPr>
          <w:rFonts w:ascii="Verdana" w:hAnsi="Verdana"/>
          <w:sz w:val="24"/>
          <w:szCs w:val="24"/>
        </w:rPr>
        <w:t xml:space="preserve">further </w:t>
      </w:r>
      <w:r w:rsidR="00C04C25">
        <w:rPr>
          <w:rFonts w:ascii="Verdana" w:hAnsi="Verdana"/>
          <w:sz w:val="24"/>
          <w:szCs w:val="24"/>
        </w:rPr>
        <w:t>t</w:t>
      </w:r>
      <w:r w:rsidR="00003FE2">
        <w:rPr>
          <w:rFonts w:ascii="Verdana" w:hAnsi="Verdana"/>
          <w:sz w:val="24"/>
          <w:szCs w:val="24"/>
        </w:rPr>
        <w:t xml:space="preserve">he arguments we raised in </w:t>
      </w:r>
      <w:hyperlink r:id="rId9" w:history="1">
        <w:r w:rsidR="00003FE2" w:rsidRPr="00003FE2">
          <w:rPr>
            <w:rStyle w:val="Hyperlink"/>
            <w:rFonts w:ascii="Verdana" w:hAnsi="Verdana"/>
            <w:sz w:val="24"/>
            <w:szCs w:val="24"/>
          </w:rPr>
          <w:t>Big 4 Audits: A Thing of the Past?</w:t>
        </w:r>
      </w:hyperlink>
      <w:r w:rsidR="00003FE2">
        <w:rPr>
          <w:rFonts w:ascii="Verdana" w:hAnsi="Verdana"/>
          <w:sz w:val="24"/>
          <w:szCs w:val="24"/>
        </w:rPr>
        <w:t xml:space="preserve"> and </w:t>
      </w:r>
      <w:hyperlink r:id="rId10" w:history="1">
        <w:r w:rsidR="00003FE2" w:rsidRPr="00003FE2">
          <w:rPr>
            <w:rStyle w:val="Hyperlink"/>
            <w:rFonts w:ascii="Verdana" w:hAnsi="Verdana"/>
            <w:sz w:val="24"/>
            <w:szCs w:val="24"/>
          </w:rPr>
          <w:t>Accountants Behaving Badly</w:t>
        </w:r>
      </w:hyperlink>
      <w:r w:rsidR="00003FE2">
        <w:rPr>
          <w:rFonts w:ascii="Verdana" w:hAnsi="Verdana"/>
          <w:sz w:val="24"/>
          <w:szCs w:val="24"/>
        </w:rPr>
        <w:t xml:space="preserve">.  </w:t>
      </w:r>
    </w:p>
    <w:p w:rsidR="004B780F" w:rsidRDefault="004B780F" w:rsidP="00041249">
      <w:pPr>
        <w:rPr>
          <w:rFonts w:ascii="Verdana" w:hAnsi="Verdana"/>
          <w:sz w:val="24"/>
          <w:szCs w:val="24"/>
        </w:rPr>
      </w:pPr>
    </w:p>
    <w:p w:rsidR="00A04225" w:rsidRDefault="00B93593" w:rsidP="00041249">
      <w:pPr>
        <w:rPr>
          <w:rFonts w:ascii="Verdana" w:hAnsi="Verdana"/>
          <w:sz w:val="24"/>
          <w:szCs w:val="24"/>
        </w:rPr>
      </w:pPr>
      <w:r>
        <w:rPr>
          <w:rFonts w:ascii="Verdana" w:hAnsi="Verdana"/>
          <w:sz w:val="24"/>
          <w:szCs w:val="24"/>
        </w:rPr>
        <w:t>On October 17</w:t>
      </w:r>
      <w:r w:rsidRPr="00B93593">
        <w:rPr>
          <w:rFonts w:ascii="Verdana" w:hAnsi="Verdana"/>
          <w:sz w:val="24"/>
          <w:szCs w:val="24"/>
          <w:vertAlign w:val="superscript"/>
        </w:rPr>
        <w:t>th</w:t>
      </w:r>
      <w:r>
        <w:rPr>
          <w:rFonts w:ascii="Verdana" w:hAnsi="Verdana"/>
          <w:sz w:val="24"/>
          <w:szCs w:val="24"/>
        </w:rPr>
        <w:t xml:space="preserve">, the </w:t>
      </w:r>
      <w:hyperlink r:id="rId11" w:history="1">
        <w:r w:rsidRPr="00B93593">
          <w:rPr>
            <w:rStyle w:val="Hyperlink"/>
            <w:rFonts w:ascii="Verdana" w:hAnsi="Verdana"/>
            <w:sz w:val="24"/>
            <w:szCs w:val="24"/>
          </w:rPr>
          <w:t>PCAOB released</w:t>
        </w:r>
      </w:hyperlink>
      <w:r>
        <w:rPr>
          <w:rFonts w:ascii="Verdana" w:hAnsi="Verdana"/>
          <w:sz w:val="24"/>
          <w:szCs w:val="24"/>
        </w:rPr>
        <w:t xml:space="preserve"> </w:t>
      </w:r>
      <w:r w:rsidR="00465E73">
        <w:rPr>
          <w:rFonts w:ascii="Verdana" w:hAnsi="Verdana"/>
          <w:sz w:val="24"/>
          <w:szCs w:val="24"/>
        </w:rPr>
        <w:t xml:space="preserve">Part II of Deloitte’s May 19, 2008 PCAOB inspection report, </w:t>
      </w:r>
      <w:r>
        <w:rPr>
          <w:rFonts w:ascii="Verdana" w:hAnsi="Verdana"/>
          <w:sz w:val="24"/>
          <w:szCs w:val="24"/>
        </w:rPr>
        <w:t>in which it described</w:t>
      </w:r>
      <w:r w:rsidR="00465E73">
        <w:rPr>
          <w:rFonts w:ascii="Verdana" w:hAnsi="Verdana"/>
          <w:sz w:val="24"/>
          <w:szCs w:val="24"/>
        </w:rPr>
        <w:t xml:space="preserve"> deficiencies that suggest that Deloitte’s </w:t>
      </w:r>
      <w:r w:rsidR="00602CE9">
        <w:rPr>
          <w:rFonts w:ascii="Verdana" w:hAnsi="Verdana"/>
          <w:sz w:val="24"/>
          <w:szCs w:val="24"/>
        </w:rPr>
        <w:t>audit model may not “provide sufficient assurance that the Firm’s audit work will meet applicable standards and requirement</w:t>
      </w:r>
      <w:r w:rsidR="00C04C25">
        <w:rPr>
          <w:rFonts w:ascii="Verdana" w:hAnsi="Verdana"/>
          <w:sz w:val="24"/>
          <w:szCs w:val="24"/>
        </w:rPr>
        <w:t>s</w:t>
      </w:r>
      <w:r w:rsidR="00602CE9">
        <w:rPr>
          <w:rFonts w:ascii="Verdana" w:hAnsi="Verdana"/>
          <w:sz w:val="24"/>
          <w:szCs w:val="24"/>
        </w:rPr>
        <w:t>.”</w:t>
      </w:r>
      <w:r w:rsidR="00602CE9" w:rsidRPr="00602CE9">
        <w:rPr>
          <w:rFonts w:ascii="Verdana" w:hAnsi="Verdana"/>
          <w:sz w:val="24"/>
          <w:szCs w:val="24"/>
        </w:rPr>
        <w:t xml:space="preserve"> </w:t>
      </w:r>
      <w:r>
        <w:rPr>
          <w:rFonts w:ascii="Verdana" w:hAnsi="Verdana"/>
          <w:sz w:val="24"/>
          <w:szCs w:val="24"/>
        </w:rPr>
        <w:t xml:space="preserve">Particularly damning was the PCAOB’s concern that Deloitte does not perform enough audit work </w:t>
      </w:r>
      <w:r w:rsidR="008E5381">
        <w:rPr>
          <w:rFonts w:ascii="Verdana" w:hAnsi="Verdana"/>
          <w:sz w:val="24"/>
          <w:szCs w:val="24"/>
        </w:rPr>
        <w:t xml:space="preserve">evaluating management estimates, specifically as they relate to asset impairment tests.  Deficiencies included failure to review valuation model assumptions, as well as not documenting the valuation of purchased intangibles.  </w:t>
      </w:r>
    </w:p>
    <w:p w:rsidR="00A04225" w:rsidRDefault="00A04225" w:rsidP="00041249">
      <w:pPr>
        <w:rPr>
          <w:rFonts w:ascii="Verdana" w:hAnsi="Verdana"/>
          <w:sz w:val="24"/>
          <w:szCs w:val="24"/>
        </w:rPr>
      </w:pPr>
    </w:p>
    <w:p w:rsidR="00602CE9" w:rsidRDefault="00A04225" w:rsidP="00041249">
      <w:pPr>
        <w:rPr>
          <w:rFonts w:ascii="Verdana" w:hAnsi="Verdana"/>
          <w:sz w:val="24"/>
          <w:szCs w:val="24"/>
        </w:rPr>
      </w:pPr>
      <w:r>
        <w:rPr>
          <w:rFonts w:ascii="Verdana" w:hAnsi="Verdana"/>
          <w:sz w:val="24"/>
          <w:szCs w:val="24"/>
        </w:rPr>
        <w:t>W</w:t>
      </w:r>
      <w:r w:rsidR="009306DB">
        <w:rPr>
          <w:rFonts w:ascii="Verdana" w:hAnsi="Verdana"/>
          <w:sz w:val="24"/>
          <w:szCs w:val="24"/>
        </w:rPr>
        <w:t xml:space="preserve">e suspected that Deloitte might have some issues when we stumbled across the goodwill impairment issue at Dicks Sporting Goods which we discussed in </w:t>
      </w:r>
      <w:hyperlink r:id="rId12" w:history="1">
        <w:r w:rsidR="009306DB" w:rsidRPr="009306DB">
          <w:rPr>
            <w:rStyle w:val="Hyperlink"/>
            <w:rFonts w:ascii="Verdana" w:hAnsi="Verdana"/>
            <w:sz w:val="24"/>
            <w:szCs w:val="24"/>
          </w:rPr>
          <w:t>Goodwill Games</w:t>
        </w:r>
      </w:hyperlink>
      <w:r w:rsidR="009306DB">
        <w:rPr>
          <w:rFonts w:ascii="Verdana" w:hAnsi="Verdana"/>
          <w:sz w:val="24"/>
          <w:szCs w:val="24"/>
        </w:rPr>
        <w:t xml:space="preserve">.  </w:t>
      </w:r>
      <w:r w:rsidR="008E5381">
        <w:rPr>
          <w:rFonts w:ascii="Verdana" w:hAnsi="Verdana"/>
          <w:sz w:val="24"/>
          <w:szCs w:val="24"/>
        </w:rPr>
        <w:t>Given that most all corporate balance sheets today include some type of intangible</w:t>
      </w:r>
      <w:r w:rsidR="0034773C">
        <w:rPr>
          <w:rFonts w:ascii="Verdana" w:hAnsi="Verdana"/>
          <w:sz w:val="24"/>
          <w:szCs w:val="24"/>
        </w:rPr>
        <w:t xml:space="preserve"> asset (e.g. goodwill, identifiable intangibles, deferred tax assets, etc.)</w:t>
      </w:r>
      <w:r w:rsidR="008E5381">
        <w:rPr>
          <w:rFonts w:ascii="Verdana" w:hAnsi="Verdana"/>
          <w:sz w:val="24"/>
          <w:szCs w:val="24"/>
        </w:rPr>
        <w:t xml:space="preserve">, as well as Deloitte’s apparent audit model issues </w:t>
      </w:r>
      <w:r w:rsidR="0034773C">
        <w:rPr>
          <w:rFonts w:ascii="Verdana" w:hAnsi="Verdana"/>
          <w:sz w:val="24"/>
          <w:szCs w:val="24"/>
        </w:rPr>
        <w:t xml:space="preserve">in this area, </w:t>
      </w:r>
      <w:r w:rsidR="008E5381">
        <w:rPr>
          <w:rFonts w:ascii="Verdana" w:hAnsi="Verdana"/>
          <w:sz w:val="24"/>
          <w:szCs w:val="24"/>
        </w:rPr>
        <w:t xml:space="preserve">we decided to help Deloitte with its 2011 audits by identifying </w:t>
      </w:r>
      <w:r w:rsidR="008F0E6C">
        <w:rPr>
          <w:rFonts w:ascii="Verdana" w:hAnsi="Verdana"/>
          <w:sz w:val="24"/>
          <w:szCs w:val="24"/>
        </w:rPr>
        <w:t xml:space="preserve">for them </w:t>
      </w:r>
      <w:r w:rsidR="008E5381">
        <w:rPr>
          <w:rFonts w:ascii="Verdana" w:hAnsi="Verdana"/>
          <w:sz w:val="24"/>
          <w:szCs w:val="24"/>
        </w:rPr>
        <w:t xml:space="preserve">those clients </w:t>
      </w:r>
      <w:r w:rsidR="0034773C">
        <w:rPr>
          <w:rFonts w:ascii="Verdana" w:hAnsi="Verdana"/>
          <w:sz w:val="24"/>
          <w:szCs w:val="24"/>
        </w:rPr>
        <w:t>where i</w:t>
      </w:r>
      <w:r w:rsidR="008E5381">
        <w:rPr>
          <w:rFonts w:ascii="Verdana" w:hAnsi="Verdana"/>
          <w:sz w:val="24"/>
          <w:szCs w:val="24"/>
        </w:rPr>
        <w:t>ntangible asset impairment</w:t>
      </w:r>
      <w:r w:rsidR="0034773C">
        <w:rPr>
          <w:rFonts w:ascii="Verdana" w:hAnsi="Verdana"/>
          <w:sz w:val="24"/>
          <w:szCs w:val="24"/>
        </w:rPr>
        <w:t xml:space="preserve"> </w:t>
      </w:r>
      <w:r w:rsidR="008F0E6C">
        <w:rPr>
          <w:rFonts w:ascii="Verdana" w:hAnsi="Verdana"/>
          <w:sz w:val="24"/>
          <w:szCs w:val="24"/>
        </w:rPr>
        <w:t xml:space="preserve">is very likely </w:t>
      </w:r>
      <w:r w:rsidR="0034773C">
        <w:rPr>
          <w:rFonts w:ascii="Verdana" w:hAnsi="Verdana"/>
          <w:sz w:val="24"/>
          <w:szCs w:val="24"/>
        </w:rPr>
        <w:t>lurking</w:t>
      </w:r>
      <w:r w:rsidR="008E5381">
        <w:rPr>
          <w:rFonts w:ascii="Verdana" w:hAnsi="Verdana"/>
          <w:sz w:val="24"/>
          <w:szCs w:val="24"/>
        </w:rPr>
        <w:t>.</w:t>
      </w:r>
    </w:p>
    <w:p w:rsidR="0034773C" w:rsidRDefault="0034773C" w:rsidP="00041249">
      <w:pPr>
        <w:rPr>
          <w:rFonts w:ascii="Verdana" w:hAnsi="Verdana"/>
          <w:sz w:val="24"/>
          <w:szCs w:val="24"/>
        </w:rPr>
      </w:pPr>
    </w:p>
    <w:p w:rsidR="0034773C" w:rsidRDefault="0034773C" w:rsidP="00041249">
      <w:pPr>
        <w:rPr>
          <w:rFonts w:ascii="Verdana" w:hAnsi="Verdana"/>
          <w:sz w:val="24"/>
          <w:szCs w:val="24"/>
        </w:rPr>
      </w:pPr>
      <w:r>
        <w:rPr>
          <w:rFonts w:ascii="Verdana" w:hAnsi="Verdana"/>
          <w:sz w:val="24"/>
          <w:szCs w:val="24"/>
        </w:rPr>
        <w:t>So exactly how does one audit intangible assets, those that you can’t hear,</w:t>
      </w:r>
      <w:r w:rsidR="008244C3">
        <w:rPr>
          <w:rFonts w:ascii="Verdana" w:hAnsi="Verdana"/>
          <w:sz w:val="24"/>
          <w:szCs w:val="24"/>
        </w:rPr>
        <w:t xml:space="preserve"> </w:t>
      </w:r>
      <w:r>
        <w:rPr>
          <w:rFonts w:ascii="Verdana" w:hAnsi="Verdana"/>
          <w:sz w:val="24"/>
          <w:szCs w:val="24"/>
        </w:rPr>
        <w:t>see, smell,</w:t>
      </w:r>
      <w:r w:rsidRPr="0034773C">
        <w:rPr>
          <w:rFonts w:ascii="Verdana" w:hAnsi="Verdana"/>
          <w:sz w:val="24"/>
          <w:szCs w:val="24"/>
        </w:rPr>
        <w:t xml:space="preserve"> </w:t>
      </w:r>
      <w:r w:rsidR="008244C3">
        <w:rPr>
          <w:rFonts w:ascii="Verdana" w:hAnsi="Verdana"/>
          <w:sz w:val="24"/>
          <w:szCs w:val="24"/>
        </w:rPr>
        <w:t>taste, or touch?  Auditors generally resort to simply evaluating management’s estimates of the asset’s valuation (SAS 57), or they evaluate</w:t>
      </w:r>
      <w:r w:rsidR="00A93C17">
        <w:rPr>
          <w:rFonts w:ascii="Verdana" w:hAnsi="Verdana"/>
          <w:sz w:val="24"/>
          <w:szCs w:val="24"/>
        </w:rPr>
        <w:t xml:space="preserve"> the work of a</w:t>
      </w:r>
      <w:r w:rsidR="008244C3">
        <w:rPr>
          <w:rFonts w:ascii="Verdana" w:hAnsi="Verdana"/>
          <w:sz w:val="24"/>
          <w:szCs w:val="24"/>
        </w:rPr>
        <w:t xml:space="preserve"> specialist hired by the audit client to </w:t>
      </w:r>
      <w:r w:rsidR="00A93C17">
        <w:rPr>
          <w:rFonts w:ascii="Verdana" w:hAnsi="Verdana"/>
          <w:sz w:val="24"/>
          <w:szCs w:val="24"/>
        </w:rPr>
        <w:t xml:space="preserve">value the intangible (SAS 73).  </w:t>
      </w:r>
      <w:r w:rsidR="008244C3">
        <w:rPr>
          <w:rFonts w:ascii="Verdana" w:hAnsi="Verdana"/>
          <w:sz w:val="24"/>
          <w:szCs w:val="24"/>
        </w:rPr>
        <w:t xml:space="preserve">It’s no wonder the PCAOB came down so hard on Deloitte, since there </w:t>
      </w:r>
      <w:r w:rsidR="008244C3">
        <w:rPr>
          <w:rFonts w:ascii="Verdana" w:hAnsi="Verdana"/>
          <w:sz w:val="24"/>
          <w:szCs w:val="24"/>
        </w:rPr>
        <w:lastRenderedPageBreak/>
        <w:t>just don’t seem to be many substantive audit procedures to detect asset impairment</w:t>
      </w:r>
      <w:r w:rsidR="00C04C25">
        <w:rPr>
          <w:rFonts w:ascii="Verdana" w:hAnsi="Verdana"/>
          <w:sz w:val="24"/>
          <w:szCs w:val="24"/>
        </w:rPr>
        <w:t xml:space="preserve"> for intangibles</w:t>
      </w:r>
      <w:r w:rsidR="00A04225">
        <w:rPr>
          <w:rFonts w:ascii="Verdana" w:hAnsi="Verdana"/>
          <w:sz w:val="24"/>
          <w:szCs w:val="24"/>
        </w:rPr>
        <w:t>.</w:t>
      </w:r>
    </w:p>
    <w:p w:rsidR="008244C3" w:rsidRDefault="008244C3" w:rsidP="00041249">
      <w:pPr>
        <w:rPr>
          <w:rFonts w:ascii="Verdana" w:hAnsi="Verdana"/>
          <w:sz w:val="24"/>
          <w:szCs w:val="24"/>
        </w:rPr>
      </w:pPr>
    </w:p>
    <w:p w:rsidR="008244C3" w:rsidRPr="009306DB" w:rsidRDefault="00306561" w:rsidP="00041249">
      <w:pPr>
        <w:rPr>
          <w:rFonts w:ascii="Verdana" w:hAnsi="Verdana"/>
          <w:sz w:val="24"/>
          <w:szCs w:val="24"/>
        </w:rPr>
      </w:pPr>
      <w:r>
        <w:rPr>
          <w:rFonts w:ascii="Verdana" w:hAnsi="Verdana"/>
          <w:sz w:val="24"/>
          <w:szCs w:val="24"/>
        </w:rPr>
        <w:t>We</w:t>
      </w:r>
      <w:r w:rsidR="008244C3">
        <w:rPr>
          <w:rFonts w:ascii="Verdana" w:hAnsi="Verdana"/>
          <w:sz w:val="24"/>
          <w:szCs w:val="24"/>
        </w:rPr>
        <w:t xml:space="preserve"> have a relatively simple </w:t>
      </w:r>
      <w:r w:rsidR="00C04C25">
        <w:rPr>
          <w:rFonts w:ascii="Verdana" w:hAnsi="Verdana"/>
          <w:sz w:val="24"/>
          <w:szCs w:val="24"/>
        </w:rPr>
        <w:t xml:space="preserve">method </w:t>
      </w:r>
      <w:r w:rsidR="008244C3">
        <w:rPr>
          <w:rFonts w:ascii="Verdana" w:hAnsi="Verdana"/>
          <w:sz w:val="24"/>
          <w:szCs w:val="24"/>
        </w:rPr>
        <w:t>to screen for possible impairment write-downs</w:t>
      </w:r>
      <w:r>
        <w:rPr>
          <w:rFonts w:ascii="Verdana" w:hAnsi="Verdana"/>
          <w:sz w:val="24"/>
          <w:szCs w:val="24"/>
        </w:rPr>
        <w:t>,</w:t>
      </w:r>
      <w:r w:rsidR="008244C3">
        <w:rPr>
          <w:rFonts w:ascii="Verdana" w:hAnsi="Verdana"/>
          <w:sz w:val="24"/>
          <w:szCs w:val="24"/>
        </w:rPr>
        <w:t xml:space="preserve"> which we will now share with Deloitte.  The answer is </w:t>
      </w:r>
      <w:r w:rsidR="008244C3" w:rsidRPr="008244C3">
        <w:rPr>
          <w:rFonts w:ascii="Verdana" w:hAnsi="Verdana"/>
          <w:i/>
          <w:sz w:val="24"/>
          <w:szCs w:val="24"/>
        </w:rPr>
        <w:t>Return on Equity</w:t>
      </w:r>
      <w:r w:rsidR="00C04C25">
        <w:rPr>
          <w:rFonts w:ascii="Verdana" w:hAnsi="Verdana"/>
          <w:i/>
          <w:sz w:val="24"/>
          <w:szCs w:val="24"/>
        </w:rPr>
        <w:t xml:space="preserve"> (</w:t>
      </w:r>
      <w:r w:rsidR="00C04C25">
        <w:rPr>
          <w:rFonts w:ascii="Verdana" w:hAnsi="Verdana"/>
          <w:sz w:val="24"/>
          <w:szCs w:val="24"/>
        </w:rPr>
        <w:t>ROE)!  At or above average ROE</w:t>
      </w:r>
      <w:r w:rsidR="008244C3">
        <w:rPr>
          <w:rFonts w:ascii="Verdana" w:hAnsi="Verdana"/>
          <w:sz w:val="24"/>
          <w:szCs w:val="24"/>
        </w:rPr>
        <w:t>s suggest that a company’s</w:t>
      </w:r>
      <w:r w:rsidR="008C3C2E">
        <w:rPr>
          <w:rFonts w:ascii="Verdana" w:hAnsi="Verdana"/>
          <w:sz w:val="24"/>
          <w:szCs w:val="24"/>
        </w:rPr>
        <w:t xml:space="preserve"> assets are performing well, or</w:t>
      </w:r>
      <w:r w:rsidR="008244C3">
        <w:rPr>
          <w:rFonts w:ascii="Verdana" w:hAnsi="Verdana"/>
          <w:sz w:val="24"/>
          <w:szCs w:val="24"/>
        </w:rPr>
        <w:t xml:space="preserve"> maybe that the company </w:t>
      </w:r>
      <w:r w:rsidR="008C3C2E">
        <w:rPr>
          <w:rFonts w:ascii="Verdana" w:hAnsi="Verdana"/>
          <w:sz w:val="24"/>
          <w:szCs w:val="24"/>
        </w:rPr>
        <w:t xml:space="preserve">also </w:t>
      </w:r>
      <w:r w:rsidR="008244C3">
        <w:rPr>
          <w:rFonts w:ascii="Verdana" w:hAnsi="Verdana"/>
          <w:sz w:val="24"/>
          <w:szCs w:val="24"/>
        </w:rPr>
        <w:t>has some unrecorded i</w:t>
      </w:r>
      <w:r w:rsidR="008C3C2E">
        <w:rPr>
          <w:rFonts w:ascii="Verdana" w:hAnsi="Verdana"/>
          <w:sz w:val="24"/>
          <w:szCs w:val="24"/>
        </w:rPr>
        <w:t>ntangibles which are creating “excess” revenue and cash flows (e.g., a secret formula or process</w:t>
      </w:r>
      <w:r w:rsidR="00C04C25">
        <w:rPr>
          <w:rFonts w:ascii="Verdana" w:hAnsi="Verdana"/>
          <w:sz w:val="24"/>
          <w:szCs w:val="24"/>
        </w:rPr>
        <w:t xml:space="preserve"> perhaps</w:t>
      </w:r>
      <w:r w:rsidR="008C3C2E">
        <w:rPr>
          <w:rFonts w:ascii="Verdana" w:hAnsi="Verdana"/>
          <w:sz w:val="24"/>
          <w:szCs w:val="24"/>
        </w:rPr>
        <w:t xml:space="preserve">).  Alternatively, below average or negative ROEs indicate that a company’s assets are performing poorly or not at all. So, if a company’s balance sheet is dominated by intangible assets, AND the company is reporting a weak ROE, we simply ask: </w:t>
      </w:r>
      <w:r w:rsidR="008C3C2E" w:rsidRPr="008C3C2E">
        <w:rPr>
          <w:rFonts w:ascii="Verdana" w:hAnsi="Verdana"/>
          <w:i/>
          <w:sz w:val="24"/>
          <w:szCs w:val="24"/>
        </w:rPr>
        <w:t xml:space="preserve">what assets </w:t>
      </w:r>
      <w:r w:rsidR="00C04C25">
        <w:rPr>
          <w:rFonts w:ascii="Verdana" w:hAnsi="Verdana"/>
          <w:i/>
          <w:sz w:val="24"/>
          <w:szCs w:val="24"/>
        </w:rPr>
        <w:t xml:space="preserve">possibly could be </w:t>
      </w:r>
      <w:r w:rsidR="008C3C2E" w:rsidRPr="008C3C2E">
        <w:rPr>
          <w:rFonts w:ascii="Verdana" w:hAnsi="Verdana"/>
          <w:i/>
          <w:sz w:val="24"/>
          <w:szCs w:val="24"/>
        </w:rPr>
        <w:t>the problem…the ones you can see, or the ones you can’t?</w:t>
      </w:r>
      <w:r w:rsidR="009306DB">
        <w:rPr>
          <w:rFonts w:ascii="Verdana" w:hAnsi="Verdana"/>
          <w:i/>
          <w:sz w:val="24"/>
          <w:szCs w:val="24"/>
        </w:rPr>
        <w:t xml:space="preserve">  </w:t>
      </w:r>
      <w:r w:rsidR="009306DB">
        <w:rPr>
          <w:rFonts w:ascii="Verdana" w:hAnsi="Verdana"/>
          <w:sz w:val="24"/>
          <w:szCs w:val="24"/>
        </w:rPr>
        <w:t xml:space="preserve">Oh, and by the way, our approach is entirely consistent with the FASB’s new position on goodwill impairment testing which indicates that financial performance should also be considered in testing impairment. See </w:t>
      </w:r>
      <w:hyperlink r:id="rId13" w:history="1">
        <w:r w:rsidR="009306DB" w:rsidRPr="009306DB">
          <w:rPr>
            <w:rStyle w:val="Hyperlink"/>
            <w:rFonts w:ascii="Verdana" w:hAnsi="Verdana"/>
            <w:sz w:val="24"/>
            <w:szCs w:val="24"/>
          </w:rPr>
          <w:t>Simplifying Goodwill Impairment Testing</w:t>
        </w:r>
      </w:hyperlink>
      <w:r w:rsidR="009306DB">
        <w:rPr>
          <w:rFonts w:ascii="Verdana" w:hAnsi="Verdana"/>
          <w:sz w:val="24"/>
          <w:szCs w:val="24"/>
        </w:rPr>
        <w:t>.</w:t>
      </w:r>
    </w:p>
    <w:p w:rsidR="005A5F04" w:rsidRPr="00306561" w:rsidRDefault="005A5F04" w:rsidP="00041249">
      <w:pPr>
        <w:rPr>
          <w:rFonts w:ascii="Verdana" w:hAnsi="Verdana"/>
          <w:sz w:val="24"/>
          <w:szCs w:val="24"/>
        </w:rPr>
      </w:pPr>
    </w:p>
    <w:p w:rsidR="000078FE" w:rsidRPr="005A5F04" w:rsidRDefault="005A5F04" w:rsidP="00041249">
      <w:pPr>
        <w:rPr>
          <w:rFonts w:ascii="Verdana" w:hAnsi="Verdana"/>
          <w:sz w:val="24"/>
          <w:szCs w:val="24"/>
        </w:rPr>
      </w:pPr>
      <w:r>
        <w:rPr>
          <w:rFonts w:ascii="Verdana" w:hAnsi="Verdana"/>
          <w:sz w:val="24"/>
          <w:szCs w:val="24"/>
        </w:rPr>
        <w:t>To help Deloitte out</w:t>
      </w:r>
      <w:r w:rsidR="00C04C25">
        <w:rPr>
          <w:rFonts w:ascii="Verdana" w:hAnsi="Verdana"/>
          <w:sz w:val="24"/>
          <w:szCs w:val="24"/>
        </w:rPr>
        <w:t xml:space="preserve"> with their intangible asset auditing problems</w:t>
      </w:r>
      <w:r>
        <w:rPr>
          <w:rFonts w:ascii="Verdana" w:hAnsi="Verdana"/>
          <w:sz w:val="24"/>
          <w:szCs w:val="24"/>
        </w:rPr>
        <w:t>, we tapped the Wharton Research Data Services COMPUSTAT North America data set to create a list of Deloitte’s 2010 clients that reported intangible assets (i.e., goodwill, common identifiable intangibles, and deferred tax assets).</w:t>
      </w:r>
      <w:r w:rsidR="000078FE">
        <w:rPr>
          <w:rFonts w:ascii="Verdana" w:hAnsi="Verdana"/>
          <w:sz w:val="24"/>
          <w:szCs w:val="24"/>
        </w:rPr>
        <w:t xml:space="preserve">  We then computed ROE’s for each </w:t>
      </w:r>
      <w:r w:rsidR="008F0E6C">
        <w:rPr>
          <w:rFonts w:ascii="Verdana" w:hAnsi="Verdana"/>
          <w:sz w:val="24"/>
          <w:szCs w:val="24"/>
        </w:rPr>
        <w:t xml:space="preserve">client </w:t>
      </w:r>
      <w:r w:rsidR="000078FE">
        <w:rPr>
          <w:rFonts w:ascii="Verdana" w:hAnsi="Verdana"/>
          <w:sz w:val="24"/>
          <w:szCs w:val="24"/>
        </w:rPr>
        <w:t>company using 2010 net income and end-of-period shareholder equity.  Only those companies reporting ROEs less than 10 percent were retained in our analysis.  While this</w:t>
      </w:r>
      <w:r w:rsidR="00C04C25">
        <w:rPr>
          <w:rFonts w:ascii="Verdana" w:hAnsi="Verdana"/>
          <w:sz w:val="24"/>
          <w:szCs w:val="24"/>
        </w:rPr>
        <w:t xml:space="preserve"> ROE</w:t>
      </w:r>
      <w:r w:rsidR="000078FE">
        <w:rPr>
          <w:rFonts w:ascii="Verdana" w:hAnsi="Verdana"/>
          <w:sz w:val="24"/>
          <w:szCs w:val="24"/>
        </w:rPr>
        <w:t xml:space="preserve"> is about 40 percent less than </w:t>
      </w:r>
      <w:hyperlink r:id="rId14" w:history="1">
        <w:r w:rsidR="000078FE" w:rsidRPr="000078FE">
          <w:rPr>
            <w:rStyle w:val="Hyperlink"/>
            <w:rFonts w:ascii="Verdana" w:hAnsi="Verdana"/>
            <w:sz w:val="24"/>
            <w:szCs w:val="24"/>
          </w:rPr>
          <w:t>Warren Buffett’s investment criteria</w:t>
        </w:r>
      </w:hyperlink>
      <w:r w:rsidR="000078FE">
        <w:rPr>
          <w:rFonts w:ascii="Verdana" w:hAnsi="Verdana"/>
          <w:sz w:val="24"/>
          <w:szCs w:val="24"/>
        </w:rPr>
        <w:t xml:space="preserve">, remember that we are auditing here, not investing.  </w:t>
      </w:r>
      <w:r w:rsidR="007D3A49">
        <w:rPr>
          <w:rFonts w:ascii="Verdana" w:hAnsi="Verdana"/>
          <w:sz w:val="24"/>
          <w:szCs w:val="24"/>
        </w:rPr>
        <w:t xml:space="preserve">We are hunting for non-performing </w:t>
      </w:r>
      <w:r w:rsidR="00C04C25">
        <w:rPr>
          <w:rFonts w:ascii="Verdana" w:hAnsi="Verdana"/>
          <w:sz w:val="24"/>
          <w:szCs w:val="24"/>
        </w:rPr>
        <w:t xml:space="preserve">intangible </w:t>
      </w:r>
      <w:r w:rsidR="007D3A49">
        <w:rPr>
          <w:rFonts w:ascii="Verdana" w:hAnsi="Verdana"/>
          <w:sz w:val="24"/>
          <w:szCs w:val="24"/>
        </w:rPr>
        <w:t xml:space="preserve">assets.  </w:t>
      </w:r>
      <w:r w:rsidR="000078FE">
        <w:rPr>
          <w:rFonts w:ascii="Verdana" w:hAnsi="Verdana"/>
          <w:sz w:val="24"/>
          <w:szCs w:val="24"/>
        </w:rPr>
        <w:t xml:space="preserve">Finally, we searched the remaining companies </w:t>
      </w:r>
      <w:r w:rsidR="00C04C25">
        <w:rPr>
          <w:rFonts w:ascii="Verdana" w:hAnsi="Verdana"/>
          <w:sz w:val="24"/>
          <w:szCs w:val="24"/>
        </w:rPr>
        <w:t xml:space="preserve">in our pool </w:t>
      </w:r>
      <w:r w:rsidR="000078FE">
        <w:rPr>
          <w:rFonts w:ascii="Verdana" w:hAnsi="Verdana"/>
          <w:sz w:val="24"/>
          <w:szCs w:val="24"/>
        </w:rPr>
        <w:t>to determine if they had reported any significant goodwill or intangible asset write-downs or re</w:t>
      </w:r>
      <w:r w:rsidR="00C04C25">
        <w:rPr>
          <w:rFonts w:ascii="Verdana" w:hAnsi="Verdana"/>
          <w:sz w:val="24"/>
          <w:szCs w:val="24"/>
        </w:rPr>
        <w:t xml:space="preserve">structuring costs during </w:t>
      </w:r>
      <w:r w:rsidR="000078FE">
        <w:rPr>
          <w:rFonts w:ascii="Verdana" w:hAnsi="Verdana"/>
          <w:sz w:val="24"/>
          <w:szCs w:val="24"/>
        </w:rPr>
        <w:t>the preceding three years.  If they did, these companies also were deleted from our pool, as they apparently had identified and initiated action on the impairment issue.  These write-downs also no doubt negatively affected reported ROEs.</w:t>
      </w:r>
    </w:p>
    <w:p w:rsidR="008E5381" w:rsidRDefault="008E5381" w:rsidP="00041249">
      <w:pPr>
        <w:rPr>
          <w:rFonts w:ascii="Verdana" w:hAnsi="Verdana"/>
          <w:sz w:val="24"/>
          <w:szCs w:val="24"/>
        </w:rPr>
      </w:pPr>
    </w:p>
    <w:p w:rsidR="008C3C2E" w:rsidRDefault="00C04C25" w:rsidP="00041249">
      <w:pPr>
        <w:rPr>
          <w:rFonts w:ascii="Verdana" w:hAnsi="Verdana"/>
          <w:sz w:val="24"/>
          <w:szCs w:val="24"/>
        </w:rPr>
      </w:pPr>
      <w:r>
        <w:rPr>
          <w:rFonts w:ascii="Verdana" w:hAnsi="Verdana"/>
          <w:sz w:val="24"/>
          <w:szCs w:val="24"/>
        </w:rPr>
        <w:t xml:space="preserve">The result? </w:t>
      </w:r>
      <w:r w:rsidR="00C14D4C">
        <w:rPr>
          <w:rFonts w:ascii="Verdana" w:hAnsi="Verdana"/>
          <w:sz w:val="24"/>
          <w:szCs w:val="24"/>
        </w:rPr>
        <w:t>The table bel</w:t>
      </w:r>
      <w:r w:rsidR="009A403E">
        <w:rPr>
          <w:rFonts w:ascii="Verdana" w:hAnsi="Verdana"/>
          <w:sz w:val="24"/>
          <w:szCs w:val="24"/>
        </w:rPr>
        <w:t xml:space="preserve">ow reports 24 </w:t>
      </w:r>
      <w:r w:rsidR="00C14D4C">
        <w:rPr>
          <w:rFonts w:ascii="Verdana" w:hAnsi="Verdana"/>
          <w:sz w:val="24"/>
          <w:szCs w:val="24"/>
        </w:rPr>
        <w:t xml:space="preserve">companies that we believe are </w:t>
      </w:r>
      <w:r w:rsidR="009A403E">
        <w:rPr>
          <w:rFonts w:ascii="Verdana" w:hAnsi="Verdana"/>
          <w:sz w:val="24"/>
          <w:szCs w:val="24"/>
        </w:rPr>
        <w:t xml:space="preserve">at significant </w:t>
      </w:r>
      <w:r w:rsidR="00C14D4C">
        <w:rPr>
          <w:rFonts w:ascii="Verdana" w:hAnsi="Verdana"/>
          <w:sz w:val="24"/>
          <w:szCs w:val="24"/>
        </w:rPr>
        <w:t>risk for some type of intangible asset write-down</w:t>
      </w:r>
      <w:r w:rsidR="009A403E">
        <w:rPr>
          <w:rFonts w:ascii="Verdana" w:hAnsi="Verdana"/>
          <w:sz w:val="24"/>
          <w:szCs w:val="24"/>
        </w:rPr>
        <w:t xml:space="preserve"> in the very near future</w:t>
      </w:r>
      <w:r w:rsidR="00C14D4C">
        <w:rPr>
          <w:rFonts w:ascii="Verdana" w:hAnsi="Verdana"/>
          <w:sz w:val="24"/>
          <w:szCs w:val="24"/>
        </w:rPr>
        <w:t xml:space="preserve">, sorted by </w:t>
      </w:r>
      <w:r w:rsidR="00325C33">
        <w:rPr>
          <w:rFonts w:ascii="Verdana" w:hAnsi="Verdana"/>
          <w:sz w:val="24"/>
          <w:szCs w:val="24"/>
        </w:rPr>
        <w:t xml:space="preserve">the ratio of </w:t>
      </w:r>
      <w:r w:rsidR="00C14D4C">
        <w:rPr>
          <w:rFonts w:ascii="Verdana" w:hAnsi="Verdana"/>
          <w:sz w:val="24"/>
          <w:szCs w:val="24"/>
        </w:rPr>
        <w:t>total intangible assets to total assets.</w:t>
      </w:r>
      <w:r w:rsidR="000C515C">
        <w:rPr>
          <w:rFonts w:ascii="Verdana" w:hAnsi="Verdana"/>
          <w:sz w:val="24"/>
          <w:szCs w:val="24"/>
        </w:rPr>
        <w:br/>
      </w:r>
    </w:p>
    <w:tbl>
      <w:tblPr>
        <w:tblStyle w:val="TableGrid"/>
        <w:tblW w:w="0" w:type="auto"/>
        <w:tblLayout w:type="fixed"/>
        <w:tblLook w:val="04A0"/>
      </w:tblPr>
      <w:tblGrid>
        <w:gridCol w:w="2268"/>
        <w:gridCol w:w="1530"/>
        <w:gridCol w:w="1530"/>
        <w:gridCol w:w="1710"/>
        <w:gridCol w:w="1260"/>
        <w:gridCol w:w="1278"/>
      </w:tblGrid>
      <w:tr w:rsidR="00536804" w:rsidRPr="00A1121C" w:rsidTr="00536804">
        <w:tc>
          <w:tcPr>
            <w:tcW w:w="2268" w:type="dxa"/>
          </w:tcPr>
          <w:p w:rsidR="00A1121C" w:rsidRDefault="00E87CB5" w:rsidP="00041249">
            <w:pPr>
              <w:jc w:val="center"/>
              <w:rPr>
                <w:rFonts w:ascii="Verdana" w:hAnsi="Verdana"/>
                <w:b/>
                <w:sz w:val="20"/>
                <w:szCs w:val="20"/>
              </w:rPr>
            </w:pPr>
            <w:r>
              <w:rPr>
                <w:rFonts w:ascii="Verdana" w:hAnsi="Verdana"/>
                <w:sz w:val="24"/>
                <w:szCs w:val="24"/>
              </w:rPr>
              <w:br w:type="page"/>
            </w:r>
          </w:p>
          <w:p w:rsidR="00A1121C" w:rsidRDefault="00A1121C" w:rsidP="00041249">
            <w:pPr>
              <w:jc w:val="center"/>
              <w:rPr>
                <w:rFonts w:ascii="Verdana" w:hAnsi="Verdana"/>
                <w:b/>
                <w:sz w:val="20"/>
                <w:szCs w:val="20"/>
              </w:rPr>
            </w:pPr>
          </w:p>
          <w:p w:rsidR="00C14D4C" w:rsidRPr="00A1121C" w:rsidRDefault="00C14D4C" w:rsidP="00041249">
            <w:pPr>
              <w:jc w:val="center"/>
              <w:rPr>
                <w:rFonts w:ascii="Verdana" w:hAnsi="Verdana"/>
                <w:b/>
                <w:sz w:val="20"/>
                <w:szCs w:val="20"/>
              </w:rPr>
            </w:pPr>
            <w:r w:rsidRPr="00A1121C">
              <w:rPr>
                <w:rFonts w:ascii="Verdana" w:hAnsi="Verdana"/>
                <w:b/>
                <w:sz w:val="20"/>
                <w:szCs w:val="20"/>
              </w:rPr>
              <w:t>Company</w:t>
            </w:r>
          </w:p>
        </w:tc>
        <w:tc>
          <w:tcPr>
            <w:tcW w:w="1530" w:type="dxa"/>
          </w:tcPr>
          <w:p w:rsidR="00A1121C" w:rsidRDefault="00A1121C" w:rsidP="00041249">
            <w:pPr>
              <w:jc w:val="center"/>
              <w:rPr>
                <w:rFonts w:ascii="Verdana" w:hAnsi="Verdana"/>
                <w:b/>
                <w:sz w:val="20"/>
                <w:szCs w:val="20"/>
              </w:rPr>
            </w:pPr>
          </w:p>
          <w:p w:rsidR="00C14D4C" w:rsidRPr="00A1121C" w:rsidRDefault="00A1121C" w:rsidP="00041249">
            <w:pPr>
              <w:jc w:val="center"/>
              <w:rPr>
                <w:rFonts w:ascii="Verdana" w:hAnsi="Verdana"/>
                <w:b/>
                <w:sz w:val="20"/>
                <w:szCs w:val="20"/>
              </w:rPr>
            </w:pPr>
            <w:r>
              <w:rPr>
                <w:rFonts w:ascii="Verdana" w:hAnsi="Verdana"/>
                <w:b/>
                <w:sz w:val="20"/>
                <w:szCs w:val="20"/>
              </w:rPr>
              <w:t>Total Intangibles</w:t>
            </w:r>
          </w:p>
        </w:tc>
        <w:tc>
          <w:tcPr>
            <w:tcW w:w="1530" w:type="dxa"/>
          </w:tcPr>
          <w:p w:rsidR="00C14D4C" w:rsidRDefault="00A1121C" w:rsidP="00041249">
            <w:pPr>
              <w:jc w:val="center"/>
              <w:rPr>
                <w:rFonts w:ascii="Verdana" w:hAnsi="Verdana"/>
                <w:b/>
                <w:sz w:val="20"/>
                <w:szCs w:val="20"/>
              </w:rPr>
            </w:pPr>
            <w:r>
              <w:rPr>
                <w:rFonts w:ascii="Verdana" w:hAnsi="Verdana"/>
                <w:b/>
                <w:sz w:val="20"/>
                <w:szCs w:val="20"/>
              </w:rPr>
              <w:t>Goodwill/</w:t>
            </w:r>
          </w:p>
          <w:p w:rsidR="00A1121C" w:rsidRPr="00A1121C" w:rsidRDefault="00A1121C" w:rsidP="00041249">
            <w:pPr>
              <w:jc w:val="center"/>
              <w:rPr>
                <w:rFonts w:ascii="Verdana" w:hAnsi="Verdana"/>
                <w:b/>
                <w:sz w:val="20"/>
                <w:szCs w:val="20"/>
              </w:rPr>
            </w:pPr>
            <w:r>
              <w:rPr>
                <w:rFonts w:ascii="Verdana" w:hAnsi="Verdana"/>
                <w:b/>
                <w:sz w:val="20"/>
                <w:szCs w:val="20"/>
              </w:rPr>
              <w:t>Total Intangibles</w:t>
            </w:r>
          </w:p>
        </w:tc>
        <w:tc>
          <w:tcPr>
            <w:tcW w:w="1710" w:type="dxa"/>
          </w:tcPr>
          <w:p w:rsidR="00C14D4C" w:rsidRDefault="00A1121C" w:rsidP="00041249">
            <w:pPr>
              <w:jc w:val="center"/>
              <w:rPr>
                <w:rFonts w:ascii="Verdana" w:hAnsi="Verdana"/>
                <w:b/>
                <w:sz w:val="20"/>
                <w:szCs w:val="20"/>
              </w:rPr>
            </w:pPr>
            <w:r>
              <w:rPr>
                <w:rFonts w:ascii="Verdana" w:hAnsi="Verdana"/>
                <w:b/>
                <w:sz w:val="20"/>
                <w:szCs w:val="20"/>
              </w:rPr>
              <w:t>Total Intangibles/</w:t>
            </w:r>
          </w:p>
          <w:p w:rsidR="00A1121C" w:rsidRPr="00A1121C" w:rsidRDefault="00A1121C" w:rsidP="00041249">
            <w:pPr>
              <w:jc w:val="center"/>
              <w:rPr>
                <w:rFonts w:ascii="Verdana" w:hAnsi="Verdana"/>
                <w:b/>
                <w:sz w:val="20"/>
                <w:szCs w:val="20"/>
              </w:rPr>
            </w:pPr>
            <w:r>
              <w:rPr>
                <w:rFonts w:ascii="Verdana" w:hAnsi="Verdana"/>
                <w:b/>
                <w:sz w:val="20"/>
                <w:szCs w:val="20"/>
              </w:rPr>
              <w:t>Total Assets</w:t>
            </w:r>
          </w:p>
        </w:tc>
        <w:tc>
          <w:tcPr>
            <w:tcW w:w="1260" w:type="dxa"/>
          </w:tcPr>
          <w:p w:rsidR="00A1121C" w:rsidRDefault="00A1121C" w:rsidP="00041249">
            <w:pPr>
              <w:jc w:val="center"/>
              <w:rPr>
                <w:rFonts w:ascii="Verdana" w:hAnsi="Verdana"/>
                <w:b/>
                <w:sz w:val="20"/>
                <w:szCs w:val="20"/>
              </w:rPr>
            </w:pPr>
          </w:p>
          <w:p w:rsidR="00C14D4C" w:rsidRPr="00A1121C" w:rsidRDefault="00A1121C" w:rsidP="00041249">
            <w:pPr>
              <w:jc w:val="center"/>
              <w:rPr>
                <w:rFonts w:ascii="Verdana" w:hAnsi="Verdana"/>
                <w:b/>
                <w:sz w:val="20"/>
                <w:szCs w:val="20"/>
              </w:rPr>
            </w:pPr>
            <w:r>
              <w:rPr>
                <w:rFonts w:ascii="Verdana" w:hAnsi="Verdana"/>
                <w:b/>
                <w:sz w:val="20"/>
                <w:szCs w:val="20"/>
              </w:rPr>
              <w:t>Tangible Equity</w:t>
            </w:r>
          </w:p>
        </w:tc>
        <w:tc>
          <w:tcPr>
            <w:tcW w:w="1278" w:type="dxa"/>
          </w:tcPr>
          <w:p w:rsidR="00A1121C" w:rsidRDefault="00A1121C" w:rsidP="00041249">
            <w:pPr>
              <w:jc w:val="center"/>
              <w:rPr>
                <w:rFonts w:ascii="Verdana" w:hAnsi="Verdana"/>
                <w:b/>
                <w:sz w:val="20"/>
                <w:szCs w:val="20"/>
              </w:rPr>
            </w:pPr>
          </w:p>
          <w:p w:rsidR="00A1121C" w:rsidRDefault="00A1121C" w:rsidP="00041249">
            <w:pPr>
              <w:jc w:val="center"/>
              <w:rPr>
                <w:rFonts w:ascii="Verdana" w:hAnsi="Verdana"/>
                <w:b/>
                <w:sz w:val="20"/>
                <w:szCs w:val="20"/>
              </w:rPr>
            </w:pPr>
          </w:p>
          <w:p w:rsidR="00C14D4C" w:rsidRPr="00A1121C" w:rsidRDefault="00A1121C" w:rsidP="00041249">
            <w:pPr>
              <w:jc w:val="center"/>
              <w:rPr>
                <w:rFonts w:ascii="Verdana" w:hAnsi="Verdana"/>
                <w:b/>
                <w:sz w:val="20"/>
                <w:szCs w:val="20"/>
              </w:rPr>
            </w:pPr>
            <w:r>
              <w:rPr>
                <w:rFonts w:ascii="Verdana" w:hAnsi="Verdana"/>
                <w:b/>
                <w:sz w:val="20"/>
                <w:szCs w:val="20"/>
              </w:rPr>
              <w:t>ROE</w:t>
            </w:r>
          </w:p>
        </w:tc>
      </w:tr>
      <w:tr w:rsidR="00536804" w:rsidRPr="00C14D4C" w:rsidTr="00536804">
        <w:tc>
          <w:tcPr>
            <w:tcW w:w="2268" w:type="dxa"/>
          </w:tcPr>
          <w:p w:rsidR="00A1121C" w:rsidRPr="00C14D4C" w:rsidRDefault="00A1121C" w:rsidP="00041249">
            <w:pPr>
              <w:rPr>
                <w:rFonts w:ascii="Verdana" w:hAnsi="Verdana"/>
                <w:sz w:val="20"/>
                <w:szCs w:val="20"/>
              </w:rPr>
            </w:pPr>
            <w:r w:rsidRPr="00C14D4C">
              <w:rPr>
                <w:rFonts w:ascii="Verdana" w:hAnsi="Verdana"/>
                <w:sz w:val="20"/>
                <w:szCs w:val="20"/>
              </w:rPr>
              <w:t>AMSURG CORP</w:t>
            </w:r>
          </w:p>
        </w:tc>
        <w:tc>
          <w:tcPr>
            <w:tcW w:w="1530" w:type="dxa"/>
          </w:tcPr>
          <w:p w:rsidR="00A1121C" w:rsidRPr="00C14D4C" w:rsidRDefault="00A1121C" w:rsidP="00041249">
            <w:pPr>
              <w:jc w:val="center"/>
              <w:rPr>
                <w:rFonts w:ascii="Verdana" w:hAnsi="Verdana"/>
                <w:sz w:val="20"/>
                <w:szCs w:val="20"/>
              </w:rPr>
            </w:pPr>
            <w:r w:rsidRPr="00A1121C">
              <w:rPr>
                <w:rFonts w:ascii="Verdana" w:hAnsi="Verdana"/>
                <w:sz w:val="20"/>
                <w:szCs w:val="20"/>
              </w:rPr>
              <w:t>916</w:t>
            </w:r>
          </w:p>
        </w:tc>
        <w:tc>
          <w:tcPr>
            <w:tcW w:w="1530" w:type="dxa"/>
          </w:tcPr>
          <w:p w:rsidR="00A1121C" w:rsidRPr="00C14D4C" w:rsidRDefault="00A1121C" w:rsidP="00041249">
            <w:pPr>
              <w:jc w:val="center"/>
              <w:rPr>
                <w:rFonts w:ascii="Verdana" w:hAnsi="Verdana"/>
                <w:sz w:val="20"/>
                <w:szCs w:val="20"/>
              </w:rPr>
            </w:pPr>
            <w:r w:rsidRPr="00A1121C">
              <w:rPr>
                <w:rFonts w:ascii="Verdana" w:hAnsi="Verdana"/>
                <w:sz w:val="20"/>
                <w:szCs w:val="20"/>
              </w:rPr>
              <w:t>97.66%</w:t>
            </w:r>
          </w:p>
        </w:tc>
        <w:tc>
          <w:tcPr>
            <w:tcW w:w="1710" w:type="dxa"/>
          </w:tcPr>
          <w:p w:rsidR="00A1121C" w:rsidRPr="00C14D4C" w:rsidRDefault="00A1121C" w:rsidP="00041249">
            <w:pPr>
              <w:jc w:val="center"/>
              <w:rPr>
                <w:rFonts w:ascii="Verdana" w:hAnsi="Verdana"/>
                <w:sz w:val="20"/>
                <w:szCs w:val="20"/>
              </w:rPr>
            </w:pPr>
            <w:r w:rsidRPr="00A1121C">
              <w:rPr>
                <w:rFonts w:ascii="Verdana" w:hAnsi="Verdana"/>
                <w:sz w:val="20"/>
                <w:szCs w:val="20"/>
              </w:rPr>
              <w:t>78.56%</w:t>
            </w:r>
          </w:p>
        </w:tc>
        <w:tc>
          <w:tcPr>
            <w:tcW w:w="1260" w:type="dxa"/>
          </w:tcPr>
          <w:p w:rsidR="00A1121C" w:rsidRPr="00C14D4C" w:rsidRDefault="00EB2BBA" w:rsidP="00041249">
            <w:pPr>
              <w:jc w:val="center"/>
              <w:rPr>
                <w:rFonts w:ascii="Verdana" w:hAnsi="Verdana"/>
                <w:sz w:val="20"/>
                <w:szCs w:val="20"/>
              </w:rPr>
            </w:pPr>
            <w:r w:rsidRPr="00EB2BBA">
              <w:rPr>
                <w:rFonts w:ascii="Verdana" w:hAnsi="Verdana"/>
                <w:sz w:val="20"/>
                <w:szCs w:val="20"/>
              </w:rPr>
              <w:t>-30.18%</w:t>
            </w:r>
          </w:p>
        </w:tc>
        <w:tc>
          <w:tcPr>
            <w:tcW w:w="1278" w:type="dxa"/>
          </w:tcPr>
          <w:p w:rsidR="00A1121C" w:rsidRPr="00C14D4C" w:rsidRDefault="00536804" w:rsidP="00041249">
            <w:pPr>
              <w:jc w:val="center"/>
              <w:rPr>
                <w:rFonts w:ascii="Verdana" w:hAnsi="Verdana"/>
                <w:sz w:val="20"/>
                <w:szCs w:val="20"/>
              </w:rPr>
            </w:pPr>
            <w:r w:rsidRPr="00536804">
              <w:rPr>
                <w:rFonts w:ascii="Verdana" w:hAnsi="Verdana"/>
                <w:sz w:val="20"/>
                <w:szCs w:val="20"/>
              </w:rPr>
              <w:t>8.83%</w:t>
            </w:r>
          </w:p>
        </w:tc>
      </w:tr>
      <w:tr w:rsidR="00536804" w:rsidRPr="00C14D4C" w:rsidTr="00536804">
        <w:tc>
          <w:tcPr>
            <w:tcW w:w="2268" w:type="dxa"/>
          </w:tcPr>
          <w:p w:rsidR="00A1121C" w:rsidRPr="00C14D4C" w:rsidRDefault="00A1121C" w:rsidP="00041249">
            <w:pPr>
              <w:rPr>
                <w:rFonts w:ascii="Verdana" w:hAnsi="Verdana"/>
                <w:sz w:val="20"/>
                <w:szCs w:val="20"/>
              </w:rPr>
            </w:pPr>
            <w:r w:rsidRPr="00C14D4C">
              <w:rPr>
                <w:rFonts w:ascii="Verdana" w:hAnsi="Verdana"/>
                <w:sz w:val="20"/>
                <w:szCs w:val="20"/>
              </w:rPr>
              <w:t>INFUSYSTEM HOLDINGS</w:t>
            </w:r>
          </w:p>
        </w:tc>
        <w:tc>
          <w:tcPr>
            <w:tcW w:w="1530" w:type="dxa"/>
          </w:tcPr>
          <w:p w:rsidR="00A1121C" w:rsidRPr="00C14D4C" w:rsidRDefault="00A1121C" w:rsidP="00041249">
            <w:pPr>
              <w:jc w:val="center"/>
              <w:rPr>
                <w:rFonts w:ascii="Verdana" w:hAnsi="Verdana"/>
                <w:sz w:val="20"/>
                <w:szCs w:val="20"/>
              </w:rPr>
            </w:pPr>
            <w:r w:rsidRPr="00A1121C">
              <w:rPr>
                <w:rFonts w:ascii="Verdana" w:hAnsi="Verdana"/>
                <w:sz w:val="20"/>
                <w:szCs w:val="20"/>
              </w:rPr>
              <w:t>102</w:t>
            </w:r>
          </w:p>
        </w:tc>
        <w:tc>
          <w:tcPr>
            <w:tcW w:w="1530" w:type="dxa"/>
          </w:tcPr>
          <w:p w:rsidR="00A1121C" w:rsidRPr="00C14D4C" w:rsidRDefault="00A1121C" w:rsidP="00041249">
            <w:pPr>
              <w:jc w:val="center"/>
              <w:rPr>
                <w:rFonts w:ascii="Verdana" w:hAnsi="Verdana"/>
                <w:sz w:val="20"/>
                <w:szCs w:val="20"/>
              </w:rPr>
            </w:pPr>
            <w:r w:rsidRPr="00A1121C">
              <w:rPr>
                <w:rFonts w:ascii="Verdana" w:hAnsi="Verdana"/>
                <w:sz w:val="20"/>
                <w:szCs w:val="20"/>
              </w:rPr>
              <w:t>63.03%</w:t>
            </w:r>
          </w:p>
        </w:tc>
        <w:tc>
          <w:tcPr>
            <w:tcW w:w="1710" w:type="dxa"/>
          </w:tcPr>
          <w:p w:rsidR="00A1121C" w:rsidRPr="00C14D4C" w:rsidRDefault="00A1121C" w:rsidP="00041249">
            <w:pPr>
              <w:jc w:val="center"/>
              <w:rPr>
                <w:rFonts w:ascii="Verdana" w:hAnsi="Verdana"/>
                <w:sz w:val="20"/>
                <w:szCs w:val="20"/>
              </w:rPr>
            </w:pPr>
            <w:r w:rsidRPr="00A1121C">
              <w:rPr>
                <w:rFonts w:ascii="Verdana" w:hAnsi="Verdana"/>
                <w:sz w:val="20"/>
                <w:szCs w:val="20"/>
              </w:rPr>
              <w:t>78.00%</w:t>
            </w:r>
          </w:p>
        </w:tc>
        <w:tc>
          <w:tcPr>
            <w:tcW w:w="1260" w:type="dxa"/>
          </w:tcPr>
          <w:p w:rsidR="00A1121C" w:rsidRPr="00C14D4C" w:rsidRDefault="00EB2BBA" w:rsidP="00041249">
            <w:pPr>
              <w:jc w:val="center"/>
              <w:rPr>
                <w:rFonts w:ascii="Verdana" w:hAnsi="Verdana"/>
                <w:sz w:val="20"/>
                <w:szCs w:val="20"/>
              </w:rPr>
            </w:pPr>
            <w:r w:rsidRPr="00EB2BBA">
              <w:rPr>
                <w:rFonts w:ascii="Verdana" w:hAnsi="Verdana"/>
                <w:sz w:val="20"/>
                <w:szCs w:val="20"/>
              </w:rPr>
              <w:t>-12.69%</w:t>
            </w:r>
          </w:p>
        </w:tc>
        <w:tc>
          <w:tcPr>
            <w:tcW w:w="1278" w:type="dxa"/>
          </w:tcPr>
          <w:p w:rsidR="00A1121C" w:rsidRPr="00C14D4C" w:rsidRDefault="00536804" w:rsidP="00041249">
            <w:pPr>
              <w:jc w:val="center"/>
              <w:rPr>
                <w:rFonts w:ascii="Verdana" w:hAnsi="Verdana"/>
                <w:sz w:val="20"/>
                <w:szCs w:val="20"/>
              </w:rPr>
            </w:pPr>
            <w:r w:rsidRPr="00536804">
              <w:rPr>
                <w:rFonts w:ascii="Verdana" w:hAnsi="Verdana"/>
                <w:sz w:val="20"/>
                <w:szCs w:val="20"/>
              </w:rPr>
              <w:t>-2.18%</w:t>
            </w:r>
          </w:p>
        </w:tc>
      </w:tr>
      <w:tr w:rsidR="00536804" w:rsidRPr="00C14D4C" w:rsidTr="00536804">
        <w:tc>
          <w:tcPr>
            <w:tcW w:w="2268" w:type="dxa"/>
          </w:tcPr>
          <w:p w:rsidR="00A1121C" w:rsidRPr="00C14D4C" w:rsidRDefault="00A1121C" w:rsidP="00041249">
            <w:pPr>
              <w:rPr>
                <w:rFonts w:ascii="Verdana" w:hAnsi="Verdana"/>
                <w:sz w:val="20"/>
                <w:szCs w:val="20"/>
              </w:rPr>
            </w:pPr>
            <w:r w:rsidRPr="00C14D4C">
              <w:rPr>
                <w:rFonts w:ascii="Verdana" w:hAnsi="Verdana"/>
                <w:sz w:val="20"/>
                <w:szCs w:val="20"/>
              </w:rPr>
              <w:t xml:space="preserve">ARCHIPELAGO </w:t>
            </w:r>
            <w:r w:rsidRPr="00C14D4C">
              <w:rPr>
                <w:rFonts w:ascii="Verdana" w:hAnsi="Verdana"/>
                <w:sz w:val="20"/>
                <w:szCs w:val="20"/>
              </w:rPr>
              <w:lastRenderedPageBreak/>
              <w:t>LEARNING</w:t>
            </w:r>
          </w:p>
        </w:tc>
        <w:tc>
          <w:tcPr>
            <w:tcW w:w="1530" w:type="dxa"/>
          </w:tcPr>
          <w:p w:rsidR="00A1121C" w:rsidRPr="00A1121C" w:rsidRDefault="00A1121C" w:rsidP="00041249">
            <w:pPr>
              <w:jc w:val="center"/>
              <w:rPr>
                <w:rFonts w:ascii="Verdana" w:hAnsi="Verdana"/>
                <w:sz w:val="20"/>
                <w:szCs w:val="20"/>
              </w:rPr>
            </w:pPr>
            <w:r w:rsidRPr="00A1121C">
              <w:rPr>
                <w:rFonts w:ascii="Verdana" w:hAnsi="Verdana"/>
                <w:sz w:val="20"/>
                <w:szCs w:val="20"/>
              </w:rPr>
              <w:lastRenderedPageBreak/>
              <w:t>208</w:t>
            </w:r>
          </w:p>
          <w:p w:rsidR="00A1121C" w:rsidRPr="00C14D4C" w:rsidRDefault="00A1121C" w:rsidP="00041249">
            <w:pPr>
              <w:jc w:val="center"/>
              <w:rPr>
                <w:rFonts w:ascii="Verdana" w:hAnsi="Verdana"/>
                <w:sz w:val="20"/>
                <w:szCs w:val="20"/>
              </w:rPr>
            </w:pPr>
          </w:p>
        </w:tc>
        <w:tc>
          <w:tcPr>
            <w:tcW w:w="1530" w:type="dxa"/>
          </w:tcPr>
          <w:p w:rsidR="00A1121C" w:rsidRPr="00A1121C" w:rsidRDefault="00A1121C" w:rsidP="00041249">
            <w:pPr>
              <w:jc w:val="center"/>
              <w:rPr>
                <w:rFonts w:ascii="Verdana" w:hAnsi="Verdana"/>
                <w:sz w:val="20"/>
                <w:szCs w:val="20"/>
              </w:rPr>
            </w:pPr>
            <w:r w:rsidRPr="00A1121C">
              <w:rPr>
                <w:rFonts w:ascii="Verdana" w:hAnsi="Verdana"/>
                <w:sz w:val="20"/>
                <w:szCs w:val="20"/>
              </w:rPr>
              <w:lastRenderedPageBreak/>
              <w:t>79.71%</w:t>
            </w:r>
          </w:p>
          <w:p w:rsidR="00A1121C" w:rsidRPr="00C14D4C" w:rsidRDefault="00A1121C" w:rsidP="00041249">
            <w:pPr>
              <w:jc w:val="center"/>
              <w:rPr>
                <w:rFonts w:ascii="Verdana" w:hAnsi="Verdana"/>
                <w:sz w:val="20"/>
                <w:szCs w:val="20"/>
              </w:rPr>
            </w:pPr>
          </w:p>
        </w:tc>
        <w:tc>
          <w:tcPr>
            <w:tcW w:w="1710" w:type="dxa"/>
          </w:tcPr>
          <w:p w:rsidR="00A1121C" w:rsidRPr="00A1121C" w:rsidRDefault="00A1121C" w:rsidP="00041249">
            <w:pPr>
              <w:jc w:val="center"/>
              <w:rPr>
                <w:rFonts w:ascii="Verdana" w:hAnsi="Verdana"/>
                <w:sz w:val="20"/>
                <w:szCs w:val="20"/>
              </w:rPr>
            </w:pPr>
            <w:r w:rsidRPr="00A1121C">
              <w:rPr>
                <w:rFonts w:ascii="Verdana" w:hAnsi="Verdana"/>
                <w:sz w:val="20"/>
                <w:szCs w:val="20"/>
              </w:rPr>
              <w:lastRenderedPageBreak/>
              <w:t>77.87%</w:t>
            </w:r>
          </w:p>
          <w:p w:rsidR="00A1121C" w:rsidRPr="00C14D4C" w:rsidRDefault="00A1121C" w:rsidP="00041249">
            <w:pPr>
              <w:jc w:val="center"/>
              <w:rPr>
                <w:rFonts w:ascii="Verdana" w:hAnsi="Verdana"/>
                <w:sz w:val="20"/>
                <w:szCs w:val="20"/>
              </w:rPr>
            </w:pPr>
          </w:p>
        </w:tc>
        <w:tc>
          <w:tcPr>
            <w:tcW w:w="1260" w:type="dxa"/>
          </w:tcPr>
          <w:p w:rsidR="00EB2BBA" w:rsidRPr="00EB2BBA" w:rsidRDefault="00EB2BBA" w:rsidP="00041249">
            <w:pPr>
              <w:jc w:val="center"/>
              <w:rPr>
                <w:rFonts w:ascii="Verdana" w:hAnsi="Verdana"/>
                <w:sz w:val="20"/>
                <w:szCs w:val="20"/>
              </w:rPr>
            </w:pPr>
            <w:r w:rsidRPr="00EB2BBA">
              <w:rPr>
                <w:rFonts w:ascii="Verdana" w:hAnsi="Verdana"/>
                <w:sz w:val="20"/>
                <w:szCs w:val="20"/>
              </w:rPr>
              <w:lastRenderedPageBreak/>
              <w:t>-37.67%</w:t>
            </w:r>
          </w:p>
          <w:p w:rsidR="00A1121C" w:rsidRPr="00C14D4C" w:rsidRDefault="00A1121C" w:rsidP="00041249">
            <w:pPr>
              <w:jc w:val="center"/>
              <w:rPr>
                <w:rFonts w:ascii="Verdana" w:hAnsi="Verdana"/>
                <w:sz w:val="20"/>
                <w:szCs w:val="20"/>
              </w:rPr>
            </w:pPr>
          </w:p>
        </w:tc>
        <w:tc>
          <w:tcPr>
            <w:tcW w:w="1278" w:type="dxa"/>
          </w:tcPr>
          <w:p w:rsidR="00A1121C" w:rsidRPr="00C14D4C" w:rsidRDefault="00536804" w:rsidP="00041249">
            <w:pPr>
              <w:jc w:val="center"/>
              <w:rPr>
                <w:rFonts w:ascii="Verdana" w:hAnsi="Verdana"/>
                <w:sz w:val="20"/>
                <w:szCs w:val="20"/>
              </w:rPr>
            </w:pPr>
            <w:r w:rsidRPr="00536804">
              <w:rPr>
                <w:rFonts w:ascii="Verdana" w:hAnsi="Verdana"/>
                <w:sz w:val="20"/>
                <w:szCs w:val="20"/>
              </w:rPr>
              <w:lastRenderedPageBreak/>
              <w:t>3.22%</w:t>
            </w:r>
          </w:p>
        </w:tc>
      </w:tr>
      <w:tr w:rsidR="00536804" w:rsidRPr="00C14D4C" w:rsidTr="00536804">
        <w:tc>
          <w:tcPr>
            <w:tcW w:w="2268" w:type="dxa"/>
          </w:tcPr>
          <w:p w:rsidR="00A1121C" w:rsidRPr="00C14D4C" w:rsidRDefault="00A1121C" w:rsidP="00041249">
            <w:pPr>
              <w:rPr>
                <w:rFonts w:ascii="Verdana" w:hAnsi="Verdana"/>
                <w:sz w:val="20"/>
                <w:szCs w:val="20"/>
              </w:rPr>
            </w:pPr>
            <w:r w:rsidRPr="00C14D4C">
              <w:rPr>
                <w:rFonts w:ascii="Verdana" w:hAnsi="Verdana"/>
                <w:sz w:val="20"/>
                <w:szCs w:val="20"/>
              </w:rPr>
              <w:lastRenderedPageBreak/>
              <w:t>EPIQ SYSTEMS</w:t>
            </w:r>
          </w:p>
        </w:tc>
        <w:tc>
          <w:tcPr>
            <w:tcW w:w="1530" w:type="dxa"/>
          </w:tcPr>
          <w:p w:rsidR="00A1121C" w:rsidRPr="00C14D4C" w:rsidRDefault="00A1121C" w:rsidP="00041249">
            <w:pPr>
              <w:jc w:val="center"/>
              <w:rPr>
                <w:rFonts w:ascii="Verdana" w:hAnsi="Verdana"/>
                <w:sz w:val="20"/>
                <w:szCs w:val="20"/>
              </w:rPr>
            </w:pPr>
            <w:r w:rsidRPr="00A1121C">
              <w:rPr>
                <w:rFonts w:ascii="Verdana" w:hAnsi="Verdana"/>
                <w:sz w:val="20"/>
                <w:szCs w:val="20"/>
              </w:rPr>
              <w:t>371</w:t>
            </w:r>
          </w:p>
        </w:tc>
        <w:tc>
          <w:tcPr>
            <w:tcW w:w="1530" w:type="dxa"/>
          </w:tcPr>
          <w:p w:rsidR="00A1121C" w:rsidRPr="00C14D4C" w:rsidRDefault="00A1121C" w:rsidP="00041249">
            <w:pPr>
              <w:jc w:val="center"/>
              <w:rPr>
                <w:rFonts w:ascii="Verdana" w:hAnsi="Verdana"/>
                <w:sz w:val="20"/>
                <w:szCs w:val="20"/>
              </w:rPr>
            </w:pPr>
            <w:r w:rsidRPr="00A1121C">
              <w:rPr>
                <w:rFonts w:ascii="Verdana" w:hAnsi="Verdana"/>
                <w:sz w:val="20"/>
                <w:szCs w:val="20"/>
              </w:rPr>
              <w:t>79.37%</w:t>
            </w:r>
          </w:p>
        </w:tc>
        <w:tc>
          <w:tcPr>
            <w:tcW w:w="1710" w:type="dxa"/>
          </w:tcPr>
          <w:p w:rsidR="00A1121C" w:rsidRPr="00C14D4C" w:rsidRDefault="00A1121C" w:rsidP="00041249">
            <w:pPr>
              <w:jc w:val="center"/>
              <w:rPr>
                <w:rFonts w:ascii="Verdana" w:hAnsi="Verdana"/>
                <w:sz w:val="20"/>
                <w:szCs w:val="20"/>
              </w:rPr>
            </w:pPr>
            <w:r w:rsidRPr="00A1121C">
              <w:rPr>
                <w:rFonts w:ascii="Verdana" w:hAnsi="Verdana"/>
                <w:sz w:val="20"/>
                <w:szCs w:val="20"/>
              </w:rPr>
              <w:t>77.66%</w:t>
            </w:r>
          </w:p>
        </w:tc>
        <w:tc>
          <w:tcPr>
            <w:tcW w:w="1260" w:type="dxa"/>
          </w:tcPr>
          <w:p w:rsidR="00A1121C" w:rsidRPr="00C14D4C" w:rsidRDefault="00EB2BBA" w:rsidP="00041249">
            <w:pPr>
              <w:jc w:val="center"/>
              <w:rPr>
                <w:rFonts w:ascii="Verdana" w:hAnsi="Verdana"/>
                <w:sz w:val="20"/>
                <w:szCs w:val="20"/>
              </w:rPr>
            </w:pPr>
            <w:r w:rsidRPr="00EB2BBA">
              <w:rPr>
                <w:rFonts w:ascii="Verdana" w:hAnsi="Verdana"/>
                <w:sz w:val="20"/>
                <w:szCs w:val="20"/>
              </w:rPr>
              <w:t>-8.97%</w:t>
            </w:r>
          </w:p>
        </w:tc>
        <w:tc>
          <w:tcPr>
            <w:tcW w:w="1278" w:type="dxa"/>
          </w:tcPr>
          <w:p w:rsidR="00A1121C" w:rsidRPr="00C14D4C" w:rsidRDefault="00536804" w:rsidP="00041249">
            <w:pPr>
              <w:jc w:val="center"/>
              <w:rPr>
                <w:rFonts w:ascii="Verdana" w:hAnsi="Verdana"/>
                <w:sz w:val="20"/>
                <w:szCs w:val="20"/>
              </w:rPr>
            </w:pPr>
            <w:r w:rsidRPr="00536804">
              <w:rPr>
                <w:rFonts w:ascii="Verdana" w:hAnsi="Verdana"/>
                <w:sz w:val="20"/>
                <w:szCs w:val="20"/>
              </w:rPr>
              <w:t>4.24%</w:t>
            </w:r>
          </w:p>
        </w:tc>
      </w:tr>
      <w:tr w:rsidR="00536804" w:rsidRPr="00C14D4C" w:rsidTr="00536804">
        <w:tc>
          <w:tcPr>
            <w:tcW w:w="2268" w:type="dxa"/>
          </w:tcPr>
          <w:p w:rsidR="00A1121C" w:rsidRPr="00C14D4C" w:rsidRDefault="00A1121C" w:rsidP="00041249">
            <w:pPr>
              <w:rPr>
                <w:rFonts w:ascii="Verdana" w:hAnsi="Verdana"/>
                <w:sz w:val="20"/>
                <w:szCs w:val="20"/>
              </w:rPr>
            </w:pPr>
            <w:r w:rsidRPr="00C14D4C">
              <w:rPr>
                <w:rFonts w:ascii="Verdana" w:hAnsi="Verdana"/>
                <w:sz w:val="20"/>
                <w:szCs w:val="20"/>
              </w:rPr>
              <w:t>VERISK ANALYTICS</w:t>
            </w:r>
          </w:p>
        </w:tc>
        <w:tc>
          <w:tcPr>
            <w:tcW w:w="1530" w:type="dxa"/>
          </w:tcPr>
          <w:p w:rsidR="00A1121C" w:rsidRPr="00C14D4C" w:rsidRDefault="00A1121C" w:rsidP="00041249">
            <w:pPr>
              <w:jc w:val="center"/>
              <w:rPr>
                <w:rFonts w:ascii="Verdana" w:hAnsi="Verdana"/>
                <w:sz w:val="20"/>
                <w:szCs w:val="20"/>
              </w:rPr>
            </w:pPr>
            <w:r w:rsidRPr="00A1121C">
              <w:rPr>
                <w:rFonts w:ascii="Verdana" w:hAnsi="Verdana"/>
                <w:sz w:val="20"/>
                <w:szCs w:val="20"/>
              </w:rPr>
              <w:t>935</w:t>
            </w:r>
          </w:p>
        </w:tc>
        <w:tc>
          <w:tcPr>
            <w:tcW w:w="1530" w:type="dxa"/>
          </w:tcPr>
          <w:p w:rsidR="00A1121C" w:rsidRPr="00C14D4C" w:rsidRDefault="00A1121C" w:rsidP="00041249">
            <w:pPr>
              <w:jc w:val="center"/>
              <w:rPr>
                <w:rFonts w:ascii="Verdana" w:hAnsi="Verdana"/>
                <w:sz w:val="20"/>
                <w:szCs w:val="20"/>
              </w:rPr>
            </w:pPr>
            <w:r w:rsidRPr="00A1121C">
              <w:rPr>
                <w:rFonts w:ascii="Verdana" w:hAnsi="Verdana"/>
                <w:sz w:val="20"/>
                <w:szCs w:val="20"/>
              </w:rPr>
              <w:t>67.66%</w:t>
            </w:r>
          </w:p>
        </w:tc>
        <w:tc>
          <w:tcPr>
            <w:tcW w:w="1710" w:type="dxa"/>
          </w:tcPr>
          <w:p w:rsidR="00A1121C" w:rsidRPr="00C14D4C" w:rsidRDefault="00A1121C" w:rsidP="00041249">
            <w:pPr>
              <w:jc w:val="center"/>
              <w:rPr>
                <w:rFonts w:ascii="Verdana" w:hAnsi="Verdana"/>
                <w:sz w:val="20"/>
                <w:szCs w:val="20"/>
              </w:rPr>
            </w:pPr>
            <w:r w:rsidRPr="00A1121C">
              <w:rPr>
                <w:rFonts w:ascii="Verdana" w:hAnsi="Verdana"/>
                <w:sz w:val="20"/>
                <w:szCs w:val="20"/>
              </w:rPr>
              <w:t>76.83%</w:t>
            </w:r>
          </w:p>
        </w:tc>
        <w:tc>
          <w:tcPr>
            <w:tcW w:w="1260" w:type="dxa"/>
          </w:tcPr>
          <w:p w:rsidR="00A1121C" w:rsidRPr="00C14D4C" w:rsidRDefault="00EB2BBA" w:rsidP="00041249">
            <w:pPr>
              <w:jc w:val="center"/>
              <w:rPr>
                <w:rFonts w:ascii="Verdana" w:hAnsi="Verdana"/>
                <w:sz w:val="20"/>
                <w:szCs w:val="20"/>
              </w:rPr>
            </w:pPr>
            <w:r w:rsidRPr="00EB2BBA">
              <w:rPr>
                <w:rFonts w:ascii="Verdana" w:hAnsi="Verdana"/>
                <w:sz w:val="20"/>
                <w:szCs w:val="20"/>
              </w:rPr>
              <w:t>-86.23%</w:t>
            </w:r>
          </w:p>
        </w:tc>
        <w:tc>
          <w:tcPr>
            <w:tcW w:w="1278" w:type="dxa"/>
          </w:tcPr>
          <w:p w:rsidR="00A1121C" w:rsidRPr="00C14D4C" w:rsidRDefault="00536804" w:rsidP="00041249">
            <w:pPr>
              <w:jc w:val="center"/>
              <w:rPr>
                <w:rFonts w:ascii="Verdana" w:hAnsi="Verdana"/>
                <w:sz w:val="20"/>
                <w:szCs w:val="20"/>
              </w:rPr>
            </w:pPr>
            <w:r w:rsidRPr="00536804">
              <w:rPr>
                <w:rFonts w:ascii="Verdana" w:hAnsi="Verdana"/>
                <w:sz w:val="20"/>
                <w:szCs w:val="20"/>
              </w:rPr>
              <w:t>-211.94%</w:t>
            </w:r>
          </w:p>
        </w:tc>
      </w:tr>
      <w:tr w:rsidR="006D1C42" w:rsidRPr="00E87CB5" w:rsidTr="0009690C">
        <w:tc>
          <w:tcPr>
            <w:tcW w:w="2268" w:type="dxa"/>
          </w:tcPr>
          <w:p w:rsidR="006D1C42" w:rsidRPr="00E87CB5" w:rsidRDefault="006D1C42" w:rsidP="00041249">
            <w:pPr>
              <w:rPr>
                <w:rFonts w:ascii="Verdana" w:hAnsi="Verdana"/>
                <w:sz w:val="20"/>
                <w:szCs w:val="20"/>
                <w:lang w:val="es-ES"/>
              </w:rPr>
            </w:pPr>
            <w:r w:rsidRPr="00E87CB5">
              <w:rPr>
                <w:rFonts w:ascii="Verdana" w:hAnsi="Verdana"/>
                <w:sz w:val="20"/>
                <w:szCs w:val="20"/>
                <w:lang w:val="es-ES"/>
              </w:rPr>
              <w:t>NATIONAL CINEMEDIA</w:t>
            </w:r>
          </w:p>
        </w:tc>
        <w:tc>
          <w:tcPr>
            <w:tcW w:w="1530" w:type="dxa"/>
          </w:tcPr>
          <w:p w:rsidR="006D1C42" w:rsidRPr="009B6ADB" w:rsidRDefault="006D1C42" w:rsidP="00041249">
            <w:pPr>
              <w:jc w:val="center"/>
              <w:rPr>
                <w:rFonts w:ascii="Verdana" w:hAnsi="Verdana"/>
                <w:sz w:val="20"/>
                <w:szCs w:val="20"/>
              </w:rPr>
            </w:pPr>
            <w:r w:rsidRPr="009B6ADB">
              <w:rPr>
                <w:rFonts w:ascii="Verdana" w:hAnsi="Verdana"/>
                <w:sz w:val="20"/>
                <w:szCs w:val="20"/>
              </w:rPr>
              <w:t>635</w:t>
            </w:r>
          </w:p>
          <w:p w:rsidR="006D1C42" w:rsidRPr="00E87CB5" w:rsidRDefault="006D1C42" w:rsidP="00041249">
            <w:pPr>
              <w:jc w:val="center"/>
              <w:rPr>
                <w:rFonts w:ascii="Verdana" w:hAnsi="Verdana"/>
                <w:sz w:val="20"/>
                <w:szCs w:val="20"/>
                <w:lang w:val="es-ES"/>
              </w:rPr>
            </w:pPr>
          </w:p>
        </w:tc>
        <w:tc>
          <w:tcPr>
            <w:tcW w:w="1530" w:type="dxa"/>
          </w:tcPr>
          <w:p w:rsidR="006D1C42" w:rsidRPr="0093719F" w:rsidRDefault="006D1C42" w:rsidP="00041249">
            <w:pPr>
              <w:jc w:val="center"/>
              <w:rPr>
                <w:rFonts w:ascii="Verdana" w:hAnsi="Verdana"/>
                <w:sz w:val="20"/>
                <w:szCs w:val="20"/>
              </w:rPr>
            </w:pPr>
            <w:r w:rsidRPr="0093719F">
              <w:rPr>
                <w:rFonts w:ascii="Verdana" w:hAnsi="Verdana"/>
                <w:sz w:val="20"/>
                <w:szCs w:val="20"/>
              </w:rPr>
              <w:t>0.00%</w:t>
            </w:r>
          </w:p>
          <w:p w:rsidR="006D1C42" w:rsidRPr="00E87CB5" w:rsidRDefault="006D1C42" w:rsidP="00041249">
            <w:pPr>
              <w:jc w:val="center"/>
              <w:rPr>
                <w:rFonts w:ascii="Verdana" w:hAnsi="Verdana"/>
                <w:sz w:val="20"/>
                <w:szCs w:val="20"/>
                <w:lang w:val="es-ES"/>
              </w:rPr>
            </w:pPr>
          </w:p>
        </w:tc>
        <w:tc>
          <w:tcPr>
            <w:tcW w:w="1710" w:type="dxa"/>
          </w:tcPr>
          <w:p w:rsidR="006D1C42" w:rsidRPr="006D1C42" w:rsidRDefault="006D1C42" w:rsidP="00041249">
            <w:pPr>
              <w:jc w:val="center"/>
              <w:rPr>
                <w:rFonts w:ascii="Verdana" w:hAnsi="Verdana"/>
                <w:sz w:val="20"/>
                <w:szCs w:val="20"/>
              </w:rPr>
            </w:pPr>
            <w:r w:rsidRPr="006D1C42">
              <w:rPr>
                <w:rFonts w:ascii="Verdana" w:hAnsi="Verdana"/>
                <w:sz w:val="20"/>
                <w:szCs w:val="20"/>
              </w:rPr>
              <w:t>74.29%</w:t>
            </w:r>
          </w:p>
          <w:p w:rsidR="006D1C42" w:rsidRPr="00E87CB5" w:rsidRDefault="006D1C42" w:rsidP="00041249">
            <w:pPr>
              <w:jc w:val="center"/>
              <w:rPr>
                <w:rFonts w:ascii="Verdana" w:hAnsi="Verdana"/>
                <w:sz w:val="20"/>
                <w:szCs w:val="20"/>
                <w:lang w:val="es-ES"/>
              </w:rPr>
            </w:pPr>
          </w:p>
        </w:tc>
        <w:tc>
          <w:tcPr>
            <w:tcW w:w="1260" w:type="dxa"/>
          </w:tcPr>
          <w:p w:rsidR="00325C33" w:rsidRPr="00325C33" w:rsidRDefault="00325C33" w:rsidP="00041249">
            <w:pPr>
              <w:jc w:val="center"/>
              <w:rPr>
                <w:rFonts w:ascii="Verdana" w:hAnsi="Verdana"/>
                <w:sz w:val="20"/>
                <w:szCs w:val="20"/>
                <w:lang w:val="es-ES"/>
              </w:rPr>
            </w:pPr>
            <w:r w:rsidRPr="00325C33">
              <w:rPr>
                <w:rFonts w:ascii="Verdana" w:hAnsi="Verdana"/>
                <w:sz w:val="20"/>
                <w:szCs w:val="20"/>
                <w:lang w:val="es-ES"/>
              </w:rPr>
              <w:t>-122.36%</w:t>
            </w:r>
          </w:p>
          <w:p w:rsidR="006D1C42" w:rsidRPr="00E87CB5" w:rsidRDefault="006D1C42" w:rsidP="00041249">
            <w:pPr>
              <w:jc w:val="center"/>
              <w:rPr>
                <w:rFonts w:ascii="Verdana" w:hAnsi="Verdana"/>
                <w:sz w:val="20"/>
                <w:szCs w:val="20"/>
                <w:lang w:val="es-ES"/>
              </w:rPr>
            </w:pPr>
          </w:p>
        </w:tc>
        <w:tc>
          <w:tcPr>
            <w:tcW w:w="1278" w:type="dxa"/>
          </w:tcPr>
          <w:p w:rsidR="002E2C5E" w:rsidRPr="002E2C5E" w:rsidRDefault="002E2C5E" w:rsidP="00041249">
            <w:pPr>
              <w:jc w:val="center"/>
              <w:rPr>
                <w:rFonts w:ascii="Verdana" w:hAnsi="Verdana"/>
                <w:sz w:val="20"/>
                <w:szCs w:val="20"/>
                <w:lang w:val="es-ES"/>
              </w:rPr>
            </w:pPr>
            <w:r w:rsidRPr="002E2C5E">
              <w:rPr>
                <w:rFonts w:ascii="Verdana" w:hAnsi="Verdana"/>
                <w:sz w:val="20"/>
                <w:szCs w:val="20"/>
                <w:lang w:val="es-ES"/>
              </w:rPr>
              <w:t>-7.11%</w:t>
            </w:r>
          </w:p>
          <w:p w:rsidR="006D1C42" w:rsidRPr="00E87CB5" w:rsidRDefault="006D1C42" w:rsidP="00041249">
            <w:pPr>
              <w:jc w:val="center"/>
              <w:rPr>
                <w:rFonts w:ascii="Verdana" w:hAnsi="Verdana"/>
                <w:sz w:val="20"/>
                <w:szCs w:val="20"/>
                <w:lang w:val="es-ES"/>
              </w:rPr>
            </w:pPr>
          </w:p>
        </w:tc>
      </w:tr>
      <w:tr w:rsidR="007A46AC" w:rsidRPr="00E87CB5" w:rsidTr="00FB131C">
        <w:tc>
          <w:tcPr>
            <w:tcW w:w="2268" w:type="dxa"/>
          </w:tcPr>
          <w:p w:rsidR="007A46AC" w:rsidRPr="00E87CB5" w:rsidRDefault="007A46AC" w:rsidP="00041249">
            <w:pPr>
              <w:rPr>
                <w:rFonts w:ascii="Verdana" w:hAnsi="Verdana"/>
                <w:sz w:val="20"/>
                <w:szCs w:val="20"/>
              </w:rPr>
            </w:pPr>
            <w:r w:rsidRPr="00E87CB5">
              <w:rPr>
                <w:rFonts w:ascii="Verdana" w:hAnsi="Verdana"/>
                <w:sz w:val="20"/>
                <w:szCs w:val="20"/>
              </w:rPr>
              <w:t>ROADRUNNER TRANS SVCS HLDGS</w:t>
            </w:r>
          </w:p>
        </w:tc>
        <w:tc>
          <w:tcPr>
            <w:tcW w:w="1530" w:type="dxa"/>
          </w:tcPr>
          <w:p w:rsidR="007A46AC" w:rsidRPr="009B6ADB" w:rsidRDefault="007A46AC" w:rsidP="00041249">
            <w:pPr>
              <w:jc w:val="center"/>
              <w:rPr>
                <w:rFonts w:ascii="Verdana" w:hAnsi="Verdana"/>
                <w:sz w:val="20"/>
                <w:szCs w:val="20"/>
              </w:rPr>
            </w:pPr>
            <w:r w:rsidRPr="009B6ADB">
              <w:rPr>
                <w:rFonts w:ascii="Verdana" w:hAnsi="Verdana"/>
                <w:sz w:val="20"/>
                <w:szCs w:val="20"/>
              </w:rPr>
              <w:t>248</w:t>
            </w:r>
          </w:p>
          <w:p w:rsidR="007A46AC" w:rsidRPr="00E87CB5" w:rsidRDefault="007A46AC" w:rsidP="00041249">
            <w:pPr>
              <w:jc w:val="center"/>
              <w:rPr>
                <w:rFonts w:ascii="Verdana" w:hAnsi="Verdana"/>
                <w:sz w:val="20"/>
                <w:szCs w:val="20"/>
                <w:lang w:val="es-ES"/>
              </w:rPr>
            </w:pPr>
          </w:p>
        </w:tc>
        <w:tc>
          <w:tcPr>
            <w:tcW w:w="1530" w:type="dxa"/>
          </w:tcPr>
          <w:p w:rsidR="007A46AC" w:rsidRPr="0093719F" w:rsidRDefault="007A46AC" w:rsidP="00041249">
            <w:pPr>
              <w:jc w:val="center"/>
              <w:rPr>
                <w:rFonts w:ascii="Verdana" w:hAnsi="Verdana"/>
                <w:sz w:val="20"/>
                <w:szCs w:val="20"/>
              </w:rPr>
            </w:pPr>
            <w:r w:rsidRPr="0093719F">
              <w:rPr>
                <w:rFonts w:ascii="Verdana" w:hAnsi="Verdana"/>
                <w:sz w:val="20"/>
                <w:szCs w:val="20"/>
              </w:rPr>
              <w:t>99.51%</w:t>
            </w:r>
          </w:p>
          <w:p w:rsidR="007A46AC" w:rsidRPr="00E87CB5" w:rsidRDefault="007A46AC" w:rsidP="00041249">
            <w:pPr>
              <w:jc w:val="center"/>
              <w:rPr>
                <w:rFonts w:ascii="Verdana" w:hAnsi="Verdana"/>
                <w:sz w:val="20"/>
                <w:szCs w:val="20"/>
                <w:lang w:val="es-ES"/>
              </w:rPr>
            </w:pPr>
          </w:p>
        </w:tc>
        <w:tc>
          <w:tcPr>
            <w:tcW w:w="1710" w:type="dxa"/>
          </w:tcPr>
          <w:p w:rsidR="007A46AC" w:rsidRPr="006D1C42" w:rsidRDefault="007A46AC" w:rsidP="00041249">
            <w:pPr>
              <w:jc w:val="center"/>
              <w:rPr>
                <w:rFonts w:ascii="Verdana" w:hAnsi="Verdana"/>
                <w:sz w:val="20"/>
                <w:szCs w:val="20"/>
              </w:rPr>
            </w:pPr>
            <w:r w:rsidRPr="006D1C42">
              <w:rPr>
                <w:rFonts w:ascii="Verdana" w:hAnsi="Verdana"/>
                <w:sz w:val="20"/>
                <w:szCs w:val="20"/>
              </w:rPr>
              <w:t>71.24%</w:t>
            </w:r>
          </w:p>
          <w:p w:rsidR="007A46AC" w:rsidRPr="00E87CB5" w:rsidRDefault="007A46AC" w:rsidP="00041249">
            <w:pPr>
              <w:jc w:val="center"/>
              <w:rPr>
                <w:rFonts w:ascii="Verdana" w:hAnsi="Verdana"/>
                <w:sz w:val="20"/>
                <w:szCs w:val="20"/>
                <w:lang w:val="es-ES"/>
              </w:rPr>
            </w:pPr>
          </w:p>
        </w:tc>
        <w:tc>
          <w:tcPr>
            <w:tcW w:w="1260" w:type="dxa"/>
          </w:tcPr>
          <w:p w:rsidR="00325C33" w:rsidRPr="00325C33" w:rsidRDefault="00325C33" w:rsidP="00041249">
            <w:pPr>
              <w:jc w:val="center"/>
              <w:rPr>
                <w:rFonts w:ascii="Verdana" w:hAnsi="Verdana"/>
                <w:sz w:val="20"/>
                <w:szCs w:val="20"/>
                <w:lang w:val="es-ES"/>
              </w:rPr>
            </w:pPr>
            <w:r w:rsidRPr="00325C33">
              <w:rPr>
                <w:rFonts w:ascii="Verdana" w:hAnsi="Verdana"/>
                <w:sz w:val="20"/>
                <w:szCs w:val="20"/>
                <w:lang w:val="es-ES"/>
              </w:rPr>
              <w:t>5.05%</w:t>
            </w:r>
          </w:p>
          <w:p w:rsidR="007A46AC" w:rsidRPr="00E87CB5" w:rsidRDefault="007A46AC" w:rsidP="00041249">
            <w:pPr>
              <w:jc w:val="center"/>
              <w:rPr>
                <w:rFonts w:ascii="Verdana" w:hAnsi="Verdana"/>
                <w:sz w:val="20"/>
                <w:szCs w:val="20"/>
                <w:lang w:val="es-ES"/>
              </w:rPr>
            </w:pPr>
          </w:p>
        </w:tc>
        <w:tc>
          <w:tcPr>
            <w:tcW w:w="1278" w:type="dxa"/>
          </w:tcPr>
          <w:p w:rsidR="002E2C5E" w:rsidRPr="002E2C5E" w:rsidRDefault="002E2C5E" w:rsidP="00041249">
            <w:pPr>
              <w:jc w:val="center"/>
              <w:rPr>
                <w:rFonts w:ascii="Verdana" w:hAnsi="Verdana"/>
                <w:sz w:val="20"/>
                <w:szCs w:val="20"/>
                <w:lang w:val="es-ES"/>
              </w:rPr>
            </w:pPr>
            <w:r w:rsidRPr="002E2C5E">
              <w:rPr>
                <w:rFonts w:ascii="Verdana" w:hAnsi="Verdana"/>
                <w:sz w:val="20"/>
                <w:szCs w:val="20"/>
                <w:lang w:val="es-ES"/>
              </w:rPr>
              <w:t>1.35%</w:t>
            </w:r>
          </w:p>
          <w:p w:rsidR="007A46AC" w:rsidRPr="00E87CB5" w:rsidRDefault="007A46AC" w:rsidP="00041249">
            <w:pPr>
              <w:jc w:val="center"/>
              <w:rPr>
                <w:rFonts w:ascii="Verdana" w:hAnsi="Verdana"/>
                <w:sz w:val="20"/>
                <w:szCs w:val="20"/>
                <w:lang w:val="es-ES"/>
              </w:rPr>
            </w:pPr>
          </w:p>
        </w:tc>
      </w:tr>
      <w:tr w:rsidR="007A46AC" w:rsidRPr="00C14D4C" w:rsidTr="004F377A">
        <w:tc>
          <w:tcPr>
            <w:tcW w:w="2268" w:type="dxa"/>
          </w:tcPr>
          <w:p w:rsidR="007A46AC" w:rsidRPr="00C14D4C" w:rsidRDefault="007A46AC" w:rsidP="00041249">
            <w:pPr>
              <w:rPr>
                <w:rFonts w:ascii="Verdana" w:hAnsi="Verdana"/>
                <w:sz w:val="20"/>
                <w:szCs w:val="20"/>
              </w:rPr>
            </w:pPr>
            <w:r w:rsidRPr="00E87CB5">
              <w:rPr>
                <w:rFonts w:ascii="Verdana" w:hAnsi="Verdana"/>
                <w:sz w:val="20"/>
                <w:szCs w:val="20"/>
              </w:rPr>
              <w:t>DIAMOND FOODS</w:t>
            </w:r>
          </w:p>
        </w:tc>
        <w:tc>
          <w:tcPr>
            <w:tcW w:w="1530" w:type="dxa"/>
          </w:tcPr>
          <w:p w:rsidR="007A46AC" w:rsidRPr="00C14D4C" w:rsidRDefault="007A46AC" w:rsidP="00041249">
            <w:pPr>
              <w:jc w:val="center"/>
              <w:rPr>
                <w:rFonts w:ascii="Verdana" w:hAnsi="Verdana"/>
                <w:sz w:val="20"/>
                <w:szCs w:val="20"/>
              </w:rPr>
            </w:pPr>
            <w:r w:rsidRPr="009B6ADB">
              <w:rPr>
                <w:rFonts w:ascii="Verdana" w:hAnsi="Verdana"/>
                <w:sz w:val="20"/>
                <w:szCs w:val="20"/>
              </w:rPr>
              <w:t>871</w:t>
            </w:r>
          </w:p>
        </w:tc>
        <w:tc>
          <w:tcPr>
            <w:tcW w:w="1530" w:type="dxa"/>
          </w:tcPr>
          <w:p w:rsidR="007A46AC" w:rsidRPr="00C14D4C" w:rsidRDefault="007A46AC" w:rsidP="00041249">
            <w:pPr>
              <w:jc w:val="center"/>
              <w:rPr>
                <w:rFonts w:ascii="Verdana" w:hAnsi="Verdana"/>
                <w:sz w:val="20"/>
                <w:szCs w:val="20"/>
              </w:rPr>
            </w:pPr>
            <w:r w:rsidRPr="0093719F">
              <w:rPr>
                <w:rFonts w:ascii="Verdana" w:hAnsi="Verdana"/>
                <w:sz w:val="20"/>
                <w:szCs w:val="20"/>
              </w:rPr>
              <w:t>45.56%</w:t>
            </w:r>
          </w:p>
        </w:tc>
        <w:tc>
          <w:tcPr>
            <w:tcW w:w="1710" w:type="dxa"/>
          </w:tcPr>
          <w:p w:rsidR="007A46AC" w:rsidRPr="00C14D4C" w:rsidRDefault="007A46AC" w:rsidP="00041249">
            <w:pPr>
              <w:jc w:val="center"/>
              <w:rPr>
                <w:rFonts w:ascii="Verdana" w:hAnsi="Verdana"/>
                <w:sz w:val="20"/>
                <w:szCs w:val="20"/>
              </w:rPr>
            </w:pPr>
            <w:r w:rsidRPr="006D1C42">
              <w:rPr>
                <w:rFonts w:ascii="Verdana" w:hAnsi="Verdana"/>
                <w:sz w:val="20"/>
                <w:szCs w:val="20"/>
              </w:rPr>
              <w:t>71.05%</w:t>
            </w:r>
          </w:p>
        </w:tc>
        <w:tc>
          <w:tcPr>
            <w:tcW w:w="1260" w:type="dxa"/>
          </w:tcPr>
          <w:p w:rsidR="007A46AC" w:rsidRPr="00325C33" w:rsidRDefault="00325C33" w:rsidP="00041249">
            <w:pPr>
              <w:jc w:val="center"/>
              <w:rPr>
                <w:rFonts w:ascii="Verdana" w:hAnsi="Verdana"/>
                <w:sz w:val="20"/>
                <w:szCs w:val="20"/>
                <w:lang w:val="es-ES"/>
              </w:rPr>
            </w:pPr>
            <w:r w:rsidRPr="00325C33">
              <w:rPr>
                <w:rFonts w:ascii="Verdana" w:hAnsi="Verdana"/>
                <w:sz w:val="20"/>
                <w:szCs w:val="20"/>
                <w:lang w:val="es-ES"/>
              </w:rPr>
              <w:t>-40.06%</w:t>
            </w:r>
          </w:p>
        </w:tc>
        <w:tc>
          <w:tcPr>
            <w:tcW w:w="1278" w:type="dxa"/>
          </w:tcPr>
          <w:p w:rsidR="007A46AC" w:rsidRPr="002E2C5E" w:rsidRDefault="002E2C5E" w:rsidP="00041249">
            <w:pPr>
              <w:jc w:val="center"/>
              <w:rPr>
                <w:rFonts w:ascii="Verdana" w:hAnsi="Verdana"/>
                <w:sz w:val="20"/>
                <w:szCs w:val="20"/>
                <w:lang w:val="es-ES"/>
              </w:rPr>
            </w:pPr>
            <w:r w:rsidRPr="002E2C5E">
              <w:rPr>
                <w:rFonts w:ascii="Verdana" w:hAnsi="Verdana"/>
                <w:sz w:val="20"/>
                <w:szCs w:val="20"/>
                <w:lang w:val="es-ES"/>
              </w:rPr>
              <w:t>6.90%</w:t>
            </w:r>
          </w:p>
        </w:tc>
      </w:tr>
      <w:tr w:rsidR="007A46AC" w:rsidRPr="00E87CB5" w:rsidTr="00B847F6">
        <w:tc>
          <w:tcPr>
            <w:tcW w:w="2268" w:type="dxa"/>
          </w:tcPr>
          <w:p w:rsidR="007A46AC" w:rsidRPr="00E87CB5" w:rsidRDefault="007A46AC" w:rsidP="00041249">
            <w:pPr>
              <w:rPr>
                <w:rFonts w:ascii="Verdana" w:hAnsi="Verdana"/>
                <w:sz w:val="20"/>
                <w:szCs w:val="20"/>
                <w:lang w:val="es-ES"/>
              </w:rPr>
            </w:pPr>
            <w:r w:rsidRPr="00E87CB5">
              <w:rPr>
                <w:rFonts w:ascii="Verdana" w:hAnsi="Verdana"/>
                <w:sz w:val="20"/>
                <w:szCs w:val="20"/>
                <w:lang w:val="es-ES"/>
              </w:rPr>
              <w:t>GRUPO AEROPORTUARIO DEL CENT</w:t>
            </w:r>
          </w:p>
        </w:tc>
        <w:tc>
          <w:tcPr>
            <w:tcW w:w="1530" w:type="dxa"/>
          </w:tcPr>
          <w:p w:rsidR="007A46AC" w:rsidRPr="009B6ADB" w:rsidRDefault="007A46AC" w:rsidP="00041249">
            <w:pPr>
              <w:jc w:val="center"/>
              <w:rPr>
                <w:rFonts w:ascii="Verdana" w:hAnsi="Verdana"/>
                <w:sz w:val="20"/>
                <w:szCs w:val="20"/>
              </w:rPr>
            </w:pPr>
            <w:r w:rsidRPr="009B6ADB">
              <w:rPr>
                <w:rFonts w:ascii="Verdana" w:hAnsi="Verdana"/>
                <w:sz w:val="20"/>
                <w:szCs w:val="20"/>
              </w:rPr>
              <w:t>587</w:t>
            </w:r>
          </w:p>
          <w:p w:rsidR="007A46AC" w:rsidRPr="00E87CB5" w:rsidRDefault="007A46AC" w:rsidP="00041249">
            <w:pPr>
              <w:jc w:val="center"/>
              <w:rPr>
                <w:rFonts w:ascii="Verdana" w:hAnsi="Verdana"/>
                <w:sz w:val="20"/>
                <w:szCs w:val="20"/>
                <w:lang w:val="es-ES"/>
              </w:rPr>
            </w:pPr>
          </w:p>
        </w:tc>
        <w:tc>
          <w:tcPr>
            <w:tcW w:w="1530" w:type="dxa"/>
          </w:tcPr>
          <w:p w:rsidR="007A46AC" w:rsidRPr="0093719F" w:rsidRDefault="007A46AC" w:rsidP="00041249">
            <w:pPr>
              <w:jc w:val="center"/>
              <w:rPr>
                <w:rFonts w:ascii="Verdana" w:hAnsi="Verdana"/>
                <w:sz w:val="20"/>
                <w:szCs w:val="20"/>
              </w:rPr>
            </w:pPr>
            <w:r w:rsidRPr="0093719F">
              <w:rPr>
                <w:rFonts w:ascii="Verdana" w:hAnsi="Verdana"/>
                <w:sz w:val="20"/>
                <w:szCs w:val="20"/>
              </w:rPr>
              <w:t>0.00%</w:t>
            </w:r>
          </w:p>
          <w:p w:rsidR="007A46AC" w:rsidRPr="00E87CB5" w:rsidRDefault="007A46AC" w:rsidP="00041249">
            <w:pPr>
              <w:jc w:val="center"/>
              <w:rPr>
                <w:rFonts w:ascii="Verdana" w:hAnsi="Verdana"/>
                <w:sz w:val="20"/>
                <w:szCs w:val="20"/>
                <w:lang w:val="es-ES"/>
              </w:rPr>
            </w:pPr>
          </w:p>
        </w:tc>
        <w:tc>
          <w:tcPr>
            <w:tcW w:w="1710" w:type="dxa"/>
          </w:tcPr>
          <w:p w:rsidR="007A46AC" w:rsidRPr="006D1C42" w:rsidRDefault="007A46AC" w:rsidP="00041249">
            <w:pPr>
              <w:jc w:val="center"/>
              <w:rPr>
                <w:rFonts w:ascii="Verdana" w:hAnsi="Verdana"/>
                <w:sz w:val="20"/>
                <w:szCs w:val="20"/>
              </w:rPr>
            </w:pPr>
            <w:r w:rsidRPr="006D1C42">
              <w:rPr>
                <w:rFonts w:ascii="Verdana" w:hAnsi="Verdana"/>
                <w:sz w:val="20"/>
                <w:szCs w:val="20"/>
              </w:rPr>
              <w:t>69.51%</w:t>
            </w:r>
          </w:p>
          <w:p w:rsidR="007A46AC" w:rsidRPr="00E87CB5" w:rsidRDefault="007A46AC" w:rsidP="00041249">
            <w:pPr>
              <w:jc w:val="center"/>
              <w:rPr>
                <w:rFonts w:ascii="Verdana" w:hAnsi="Verdana"/>
                <w:sz w:val="20"/>
                <w:szCs w:val="20"/>
                <w:lang w:val="es-ES"/>
              </w:rPr>
            </w:pPr>
          </w:p>
        </w:tc>
        <w:tc>
          <w:tcPr>
            <w:tcW w:w="1260" w:type="dxa"/>
          </w:tcPr>
          <w:p w:rsidR="00325C33" w:rsidRPr="00325C33" w:rsidRDefault="00325C33" w:rsidP="00041249">
            <w:pPr>
              <w:jc w:val="center"/>
              <w:rPr>
                <w:rFonts w:ascii="Verdana" w:hAnsi="Verdana"/>
                <w:sz w:val="20"/>
                <w:szCs w:val="20"/>
                <w:lang w:val="es-ES"/>
              </w:rPr>
            </w:pPr>
            <w:r w:rsidRPr="00325C33">
              <w:rPr>
                <w:rFonts w:ascii="Verdana" w:hAnsi="Verdana"/>
                <w:sz w:val="20"/>
                <w:szCs w:val="20"/>
                <w:lang w:val="es-ES"/>
              </w:rPr>
              <w:t>5.47%</w:t>
            </w:r>
          </w:p>
          <w:p w:rsidR="007A46AC" w:rsidRPr="00E87CB5" w:rsidRDefault="007A46AC" w:rsidP="00041249">
            <w:pPr>
              <w:jc w:val="center"/>
              <w:rPr>
                <w:rFonts w:ascii="Verdana" w:hAnsi="Verdana"/>
                <w:sz w:val="20"/>
                <w:szCs w:val="20"/>
                <w:lang w:val="es-ES"/>
              </w:rPr>
            </w:pPr>
          </w:p>
        </w:tc>
        <w:tc>
          <w:tcPr>
            <w:tcW w:w="1278" w:type="dxa"/>
          </w:tcPr>
          <w:p w:rsidR="002E2C5E" w:rsidRPr="002E2C5E" w:rsidRDefault="002E2C5E" w:rsidP="00041249">
            <w:pPr>
              <w:jc w:val="center"/>
              <w:rPr>
                <w:rFonts w:ascii="Verdana" w:hAnsi="Verdana"/>
                <w:sz w:val="20"/>
                <w:szCs w:val="20"/>
                <w:lang w:val="es-ES"/>
              </w:rPr>
            </w:pPr>
            <w:r w:rsidRPr="002E2C5E">
              <w:rPr>
                <w:rFonts w:ascii="Verdana" w:hAnsi="Verdana"/>
                <w:sz w:val="20"/>
                <w:szCs w:val="20"/>
                <w:lang w:val="es-ES"/>
              </w:rPr>
              <w:t>7.06%</w:t>
            </w:r>
          </w:p>
          <w:p w:rsidR="007A46AC" w:rsidRPr="00E87CB5" w:rsidRDefault="007A46AC" w:rsidP="00041249">
            <w:pPr>
              <w:jc w:val="center"/>
              <w:rPr>
                <w:rFonts w:ascii="Verdana" w:hAnsi="Verdana"/>
                <w:sz w:val="20"/>
                <w:szCs w:val="20"/>
                <w:lang w:val="es-ES"/>
              </w:rPr>
            </w:pPr>
          </w:p>
        </w:tc>
      </w:tr>
      <w:tr w:rsidR="007A46AC" w:rsidRPr="00E87CB5" w:rsidTr="00B43895">
        <w:tc>
          <w:tcPr>
            <w:tcW w:w="2268" w:type="dxa"/>
          </w:tcPr>
          <w:p w:rsidR="007A46AC" w:rsidRPr="00E87CB5" w:rsidRDefault="007A46AC" w:rsidP="00041249">
            <w:pPr>
              <w:rPr>
                <w:rFonts w:ascii="Verdana" w:hAnsi="Verdana"/>
                <w:sz w:val="20"/>
                <w:szCs w:val="20"/>
              </w:rPr>
            </w:pPr>
            <w:r w:rsidRPr="00E87CB5">
              <w:rPr>
                <w:rFonts w:ascii="Verdana" w:hAnsi="Verdana"/>
                <w:sz w:val="20"/>
                <w:szCs w:val="20"/>
              </w:rPr>
              <w:t>ON ASSIGNMENT</w:t>
            </w:r>
          </w:p>
        </w:tc>
        <w:tc>
          <w:tcPr>
            <w:tcW w:w="1530" w:type="dxa"/>
          </w:tcPr>
          <w:p w:rsidR="007A46AC" w:rsidRPr="00D16D83" w:rsidRDefault="007A46AC" w:rsidP="00041249">
            <w:pPr>
              <w:jc w:val="center"/>
              <w:rPr>
                <w:rFonts w:ascii="Verdana" w:hAnsi="Verdana"/>
                <w:sz w:val="20"/>
                <w:szCs w:val="20"/>
              </w:rPr>
            </w:pPr>
            <w:r w:rsidRPr="009B6ADB">
              <w:rPr>
                <w:rFonts w:ascii="Verdana" w:hAnsi="Verdana"/>
                <w:sz w:val="20"/>
                <w:szCs w:val="20"/>
              </w:rPr>
              <w:t>237</w:t>
            </w:r>
          </w:p>
        </w:tc>
        <w:tc>
          <w:tcPr>
            <w:tcW w:w="1530" w:type="dxa"/>
          </w:tcPr>
          <w:p w:rsidR="007A46AC" w:rsidRPr="007A46AC" w:rsidRDefault="007A46AC" w:rsidP="00041249">
            <w:pPr>
              <w:jc w:val="center"/>
              <w:rPr>
                <w:rFonts w:ascii="Verdana" w:hAnsi="Verdana"/>
                <w:sz w:val="20"/>
                <w:szCs w:val="20"/>
              </w:rPr>
            </w:pPr>
            <w:r w:rsidRPr="0093719F">
              <w:rPr>
                <w:rFonts w:ascii="Verdana" w:hAnsi="Verdana"/>
                <w:sz w:val="20"/>
                <w:szCs w:val="20"/>
              </w:rPr>
              <w:t>84.25%</w:t>
            </w:r>
          </w:p>
        </w:tc>
        <w:tc>
          <w:tcPr>
            <w:tcW w:w="1710" w:type="dxa"/>
          </w:tcPr>
          <w:p w:rsidR="007A46AC" w:rsidRPr="007A46AC" w:rsidRDefault="007A46AC" w:rsidP="00041249">
            <w:pPr>
              <w:jc w:val="center"/>
              <w:rPr>
                <w:rFonts w:ascii="Verdana" w:hAnsi="Verdana"/>
                <w:sz w:val="20"/>
                <w:szCs w:val="20"/>
              </w:rPr>
            </w:pPr>
            <w:r w:rsidRPr="006D1C42">
              <w:rPr>
                <w:rFonts w:ascii="Verdana" w:hAnsi="Verdana"/>
                <w:sz w:val="20"/>
                <w:szCs w:val="20"/>
              </w:rPr>
              <w:t>69.50%</w:t>
            </w:r>
          </w:p>
        </w:tc>
        <w:tc>
          <w:tcPr>
            <w:tcW w:w="1260" w:type="dxa"/>
          </w:tcPr>
          <w:p w:rsidR="007A46AC" w:rsidRPr="00E87CB5" w:rsidRDefault="00325C33" w:rsidP="00041249">
            <w:pPr>
              <w:jc w:val="center"/>
              <w:rPr>
                <w:rFonts w:ascii="Verdana" w:hAnsi="Verdana"/>
                <w:sz w:val="20"/>
                <w:szCs w:val="20"/>
                <w:lang w:val="es-ES"/>
              </w:rPr>
            </w:pPr>
            <w:r w:rsidRPr="00325C33">
              <w:rPr>
                <w:rFonts w:ascii="Verdana" w:hAnsi="Verdana"/>
                <w:sz w:val="20"/>
                <w:szCs w:val="20"/>
                <w:lang w:val="es-ES"/>
              </w:rPr>
              <w:t>-5.15%</w:t>
            </w:r>
          </w:p>
        </w:tc>
        <w:tc>
          <w:tcPr>
            <w:tcW w:w="1278" w:type="dxa"/>
          </w:tcPr>
          <w:p w:rsidR="007A46AC" w:rsidRPr="00E87CB5" w:rsidRDefault="002E2C5E" w:rsidP="00041249">
            <w:pPr>
              <w:jc w:val="center"/>
              <w:rPr>
                <w:rFonts w:ascii="Verdana" w:hAnsi="Verdana"/>
                <w:sz w:val="20"/>
                <w:szCs w:val="20"/>
                <w:lang w:val="es-ES"/>
              </w:rPr>
            </w:pPr>
            <w:r w:rsidRPr="002E2C5E">
              <w:rPr>
                <w:rFonts w:ascii="Verdana" w:hAnsi="Verdana"/>
                <w:sz w:val="20"/>
                <w:szCs w:val="20"/>
                <w:lang w:val="es-ES"/>
              </w:rPr>
              <w:t>-4.51%</w:t>
            </w:r>
          </w:p>
        </w:tc>
      </w:tr>
      <w:tr w:rsidR="007A46AC" w:rsidRPr="00E87CB5" w:rsidTr="00FC31C3">
        <w:tc>
          <w:tcPr>
            <w:tcW w:w="2268" w:type="dxa"/>
          </w:tcPr>
          <w:p w:rsidR="007A46AC" w:rsidRPr="00E87CB5" w:rsidRDefault="007A46AC" w:rsidP="00041249">
            <w:pPr>
              <w:rPr>
                <w:rFonts w:ascii="Verdana" w:hAnsi="Verdana"/>
                <w:sz w:val="20"/>
                <w:szCs w:val="20"/>
              </w:rPr>
            </w:pPr>
            <w:r w:rsidRPr="00E87CB5">
              <w:rPr>
                <w:rFonts w:ascii="Verdana" w:hAnsi="Verdana"/>
                <w:sz w:val="20"/>
                <w:szCs w:val="20"/>
              </w:rPr>
              <w:t>UNIVERSAL HOSPITAL SERVICES</w:t>
            </w:r>
          </w:p>
        </w:tc>
        <w:tc>
          <w:tcPr>
            <w:tcW w:w="1530" w:type="dxa"/>
          </w:tcPr>
          <w:p w:rsidR="007A46AC" w:rsidRPr="009B6ADB" w:rsidRDefault="007A46AC" w:rsidP="00041249">
            <w:pPr>
              <w:jc w:val="center"/>
              <w:rPr>
                <w:rFonts w:ascii="Verdana" w:hAnsi="Verdana"/>
                <w:sz w:val="20"/>
                <w:szCs w:val="20"/>
              </w:rPr>
            </w:pPr>
            <w:r w:rsidRPr="009B6ADB">
              <w:rPr>
                <w:rFonts w:ascii="Verdana" w:hAnsi="Verdana"/>
                <w:sz w:val="20"/>
                <w:szCs w:val="20"/>
              </w:rPr>
              <w:t>575</w:t>
            </w:r>
          </w:p>
          <w:p w:rsidR="007A46AC" w:rsidRPr="00E87CB5" w:rsidRDefault="007A46AC" w:rsidP="00041249">
            <w:pPr>
              <w:jc w:val="center"/>
              <w:rPr>
                <w:rFonts w:ascii="Verdana" w:hAnsi="Verdana"/>
                <w:sz w:val="20"/>
                <w:szCs w:val="20"/>
                <w:lang w:val="es-ES"/>
              </w:rPr>
            </w:pPr>
          </w:p>
        </w:tc>
        <w:tc>
          <w:tcPr>
            <w:tcW w:w="1530" w:type="dxa"/>
          </w:tcPr>
          <w:p w:rsidR="007A46AC" w:rsidRPr="0093719F" w:rsidRDefault="007A46AC" w:rsidP="00041249">
            <w:pPr>
              <w:jc w:val="center"/>
              <w:rPr>
                <w:rFonts w:ascii="Verdana" w:hAnsi="Verdana"/>
                <w:sz w:val="20"/>
                <w:szCs w:val="20"/>
              </w:rPr>
            </w:pPr>
            <w:r w:rsidRPr="0093719F">
              <w:rPr>
                <w:rFonts w:ascii="Verdana" w:hAnsi="Verdana"/>
                <w:sz w:val="20"/>
                <w:szCs w:val="20"/>
              </w:rPr>
              <w:t>48.71%</w:t>
            </w:r>
          </w:p>
          <w:p w:rsidR="007A46AC" w:rsidRPr="00E87CB5" w:rsidRDefault="007A46AC" w:rsidP="00041249">
            <w:pPr>
              <w:jc w:val="center"/>
              <w:rPr>
                <w:rFonts w:ascii="Verdana" w:hAnsi="Verdana"/>
                <w:sz w:val="20"/>
                <w:szCs w:val="20"/>
                <w:lang w:val="es-ES"/>
              </w:rPr>
            </w:pPr>
          </w:p>
        </w:tc>
        <w:tc>
          <w:tcPr>
            <w:tcW w:w="1710" w:type="dxa"/>
          </w:tcPr>
          <w:p w:rsidR="007A46AC" w:rsidRPr="006D1C42" w:rsidRDefault="007A46AC" w:rsidP="00041249">
            <w:pPr>
              <w:jc w:val="center"/>
              <w:rPr>
                <w:rFonts w:ascii="Verdana" w:hAnsi="Verdana"/>
                <w:sz w:val="20"/>
                <w:szCs w:val="20"/>
              </w:rPr>
            </w:pPr>
            <w:r w:rsidRPr="006D1C42">
              <w:rPr>
                <w:rFonts w:ascii="Verdana" w:hAnsi="Verdana"/>
                <w:sz w:val="20"/>
                <w:szCs w:val="20"/>
              </w:rPr>
              <w:t>69.06%</w:t>
            </w:r>
          </w:p>
          <w:p w:rsidR="007A46AC" w:rsidRPr="00E87CB5" w:rsidRDefault="007A46AC" w:rsidP="00041249">
            <w:pPr>
              <w:jc w:val="center"/>
              <w:rPr>
                <w:rFonts w:ascii="Verdana" w:hAnsi="Verdana"/>
                <w:sz w:val="20"/>
                <w:szCs w:val="20"/>
                <w:lang w:val="es-ES"/>
              </w:rPr>
            </w:pPr>
          </w:p>
        </w:tc>
        <w:tc>
          <w:tcPr>
            <w:tcW w:w="1260" w:type="dxa"/>
          </w:tcPr>
          <w:p w:rsidR="00325C33" w:rsidRPr="00325C33" w:rsidRDefault="00325C33" w:rsidP="00041249">
            <w:pPr>
              <w:jc w:val="center"/>
              <w:rPr>
                <w:rFonts w:ascii="Verdana" w:hAnsi="Verdana"/>
                <w:sz w:val="20"/>
                <w:szCs w:val="20"/>
                <w:lang w:val="es-ES"/>
              </w:rPr>
            </w:pPr>
            <w:r w:rsidRPr="00325C33">
              <w:rPr>
                <w:rFonts w:ascii="Verdana" w:hAnsi="Verdana"/>
                <w:sz w:val="20"/>
                <w:szCs w:val="20"/>
                <w:lang w:val="es-ES"/>
              </w:rPr>
              <w:t>-51.44%</w:t>
            </w:r>
          </w:p>
          <w:p w:rsidR="007A46AC" w:rsidRPr="00E87CB5" w:rsidRDefault="007A46AC" w:rsidP="00041249">
            <w:pPr>
              <w:jc w:val="center"/>
              <w:rPr>
                <w:rFonts w:ascii="Verdana" w:hAnsi="Verdana"/>
                <w:sz w:val="20"/>
                <w:szCs w:val="20"/>
                <w:lang w:val="es-ES"/>
              </w:rPr>
            </w:pPr>
          </w:p>
        </w:tc>
        <w:tc>
          <w:tcPr>
            <w:tcW w:w="1278" w:type="dxa"/>
          </w:tcPr>
          <w:p w:rsidR="002E2C5E" w:rsidRPr="002E2C5E" w:rsidRDefault="002E2C5E" w:rsidP="00041249">
            <w:pPr>
              <w:jc w:val="center"/>
              <w:rPr>
                <w:rFonts w:ascii="Verdana" w:hAnsi="Verdana"/>
                <w:sz w:val="20"/>
                <w:szCs w:val="20"/>
                <w:lang w:val="es-ES"/>
              </w:rPr>
            </w:pPr>
            <w:r w:rsidRPr="002E2C5E">
              <w:rPr>
                <w:rFonts w:ascii="Verdana" w:hAnsi="Verdana"/>
                <w:sz w:val="20"/>
                <w:szCs w:val="20"/>
                <w:lang w:val="es-ES"/>
              </w:rPr>
              <w:t>-19.84%</w:t>
            </w:r>
          </w:p>
          <w:p w:rsidR="007A46AC" w:rsidRPr="00E87CB5" w:rsidRDefault="007A46AC" w:rsidP="00041249">
            <w:pPr>
              <w:jc w:val="center"/>
              <w:rPr>
                <w:rFonts w:ascii="Verdana" w:hAnsi="Verdana"/>
                <w:sz w:val="20"/>
                <w:szCs w:val="20"/>
                <w:lang w:val="es-ES"/>
              </w:rPr>
            </w:pPr>
          </w:p>
        </w:tc>
      </w:tr>
      <w:tr w:rsidR="007A46AC" w:rsidRPr="00C14D4C" w:rsidTr="00DB3D88">
        <w:tc>
          <w:tcPr>
            <w:tcW w:w="2268" w:type="dxa"/>
          </w:tcPr>
          <w:p w:rsidR="007A46AC" w:rsidRPr="00C14D4C" w:rsidRDefault="007A46AC" w:rsidP="00041249">
            <w:pPr>
              <w:rPr>
                <w:rFonts w:ascii="Verdana" w:hAnsi="Verdana"/>
                <w:sz w:val="20"/>
                <w:szCs w:val="20"/>
              </w:rPr>
            </w:pPr>
            <w:r w:rsidRPr="00E87CB5">
              <w:rPr>
                <w:rFonts w:ascii="Verdana" w:hAnsi="Verdana"/>
                <w:sz w:val="20"/>
                <w:szCs w:val="20"/>
              </w:rPr>
              <w:t>PENTAIR</w:t>
            </w:r>
          </w:p>
        </w:tc>
        <w:tc>
          <w:tcPr>
            <w:tcW w:w="1530" w:type="dxa"/>
          </w:tcPr>
          <w:p w:rsidR="007A46AC" w:rsidRPr="00C14D4C" w:rsidRDefault="007A46AC" w:rsidP="00041249">
            <w:pPr>
              <w:jc w:val="center"/>
              <w:rPr>
                <w:rFonts w:ascii="Verdana" w:hAnsi="Verdana"/>
                <w:sz w:val="20"/>
                <w:szCs w:val="20"/>
              </w:rPr>
            </w:pPr>
            <w:r w:rsidRPr="009B6ADB">
              <w:rPr>
                <w:rFonts w:ascii="Verdana" w:hAnsi="Verdana"/>
                <w:sz w:val="20"/>
                <w:szCs w:val="20"/>
              </w:rPr>
              <w:t>2,678</w:t>
            </w:r>
          </w:p>
        </w:tc>
        <w:tc>
          <w:tcPr>
            <w:tcW w:w="1530" w:type="dxa"/>
          </w:tcPr>
          <w:p w:rsidR="007A46AC" w:rsidRPr="00C14D4C" w:rsidRDefault="007A46AC" w:rsidP="00041249">
            <w:pPr>
              <w:jc w:val="center"/>
              <w:rPr>
                <w:rFonts w:ascii="Verdana" w:hAnsi="Verdana"/>
                <w:sz w:val="20"/>
                <w:szCs w:val="20"/>
              </w:rPr>
            </w:pPr>
            <w:r w:rsidRPr="0093719F">
              <w:rPr>
                <w:rFonts w:ascii="Verdana" w:hAnsi="Verdana"/>
                <w:sz w:val="20"/>
                <w:szCs w:val="20"/>
              </w:rPr>
              <w:t>77.15%</w:t>
            </w:r>
          </w:p>
        </w:tc>
        <w:tc>
          <w:tcPr>
            <w:tcW w:w="1710" w:type="dxa"/>
          </w:tcPr>
          <w:p w:rsidR="007A46AC" w:rsidRPr="00C14D4C" w:rsidRDefault="007A46AC" w:rsidP="00041249">
            <w:pPr>
              <w:jc w:val="center"/>
              <w:rPr>
                <w:rFonts w:ascii="Verdana" w:hAnsi="Verdana"/>
                <w:sz w:val="20"/>
                <w:szCs w:val="20"/>
              </w:rPr>
            </w:pPr>
            <w:r w:rsidRPr="006D1C42">
              <w:rPr>
                <w:rFonts w:ascii="Verdana" w:hAnsi="Verdana"/>
                <w:sz w:val="20"/>
                <w:szCs w:val="20"/>
              </w:rPr>
              <w:t>67.39%</w:t>
            </w:r>
          </w:p>
        </w:tc>
        <w:tc>
          <w:tcPr>
            <w:tcW w:w="1260" w:type="dxa"/>
          </w:tcPr>
          <w:p w:rsidR="007A46AC" w:rsidRPr="00325C33" w:rsidRDefault="00325C33" w:rsidP="00041249">
            <w:pPr>
              <w:jc w:val="center"/>
              <w:rPr>
                <w:rFonts w:ascii="Verdana" w:hAnsi="Verdana"/>
                <w:sz w:val="20"/>
                <w:szCs w:val="20"/>
                <w:lang w:val="es-ES"/>
              </w:rPr>
            </w:pPr>
            <w:r w:rsidRPr="00325C33">
              <w:rPr>
                <w:rFonts w:ascii="Verdana" w:hAnsi="Verdana"/>
                <w:sz w:val="20"/>
                <w:szCs w:val="20"/>
                <w:lang w:val="es-ES"/>
              </w:rPr>
              <w:t>-14.71%</w:t>
            </w:r>
          </w:p>
        </w:tc>
        <w:tc>
          <w:tcPr>
            <w:tcW w:w="1278" w:type="dxa"/>
          </w:tcPr>
          <w:p w:rsidR="007A46AC" w:rsidRPr="002E2C5E" w:rsidRDefault="002E2C5E" w:rsidP="00041249">
            <w:pPr>
              <w:jc w:val="center"/>
              <w:rPr>
                <w:rFonts w:ascii="Verdana" w:hAnsi="Verdana"/>
                <w:sz w:val="20"/>
                <w:szCs w:val="20"/>
                <w:lang w:val="es-ES"/>
              </w:rPr>
            </w:pPr>
            <w:r w:rsidRPr="002E2C5E">
              <w:rPr>
                <w:rFonts w:ascii="Verdana" w:hAnsi="Verdana"/>
                <w:sz w:val="20"/>
                <w:szCs w:val="20"/>
                <w:lang w:val="es-ES"/>
              </w:rPr>
              <w:t>9.45%</w:t>
            </w:r>
          </w:p>
        </w:tc>
      </w:tr>
      <w:tr w:rsidR="007A46AC" w:rsidRPr="00C14D4C" w:rsidTr="00F16FC7">
        <w:tc>
          <w:tcPr>
            <w:tcW w:w="2268" w:type="dxa"/>
          </w:tcPr>
          <w:p w:rsidR="007A46AC" w:rsidRPr="00C14D4C" w:rsidRDefault="007A46AC" w:rsidP="00041249">
            <w:pPr>
              <w:rPr>
                <w:rFonts w:ascii="Verdana" w:hAnsi="Verdana"/>
                <w:sz w:val="20"/>
                <w:szCs w:val="20"/>
              </w:rPr>
            </w:pPr>
            <w:r w:rsidRPr="00E87CB5">
              <w:rPr>
                <w:rFonts w:ascii="Verdana" w:hAnsi="Verdana"/>
                <w:sz w:val="20"/>
                <w:szCs w:val="20"/>
              </w:rPr>
              <w:t>NATIONAL MENTOR</w:t>
            </w:r>
            <w:r>
              <w:rPr>
                <w:rFonts w:ascii="Verdana" w:hAnsi="Verdana"/>
                <w:sz w:val="20"/>
                <w:szCs w:val="20"/>
              </w:rPr>
              <w:t xml:space="preserve"> </w:t>
            </w:r>
            <w:r w:rsidRPr="00E87CB5">
              <w:rPr>
                <w:rFonts w:ascii="Verdana" w:hAnsi="Verdana"/>
                <w:sz w:val="20"/>
                <w:szCs w:val="20"/>
              </w:rPr>
              <w:t>HOLDINGS</w:t>
            </w:r>
          </w:p>
        </w:tc>
        <w:tc>
          <w:tcPr>
            <w:tcW w:w="1530" w:type="dxa"/>
          </w:tcPr>
          <w:p w:rsidR="007A46AC" w:rsidRPr="009B6ADB" w:rsidRDefault="007A46AC" w:rsidP="00041249">
            <w:pPr>
              <w:jc w:val="center"/>
              <w:rPr>
                <w:rFonts w:ascii="Verdana" w:hAnsi="Verdana"/>
                <w:sz w:val="20"/>
                <w:szCs w:val="20"/>
              </w:rPr>
            </w:pPr>
            <w:r w:rsidRPr="009B6ADB">
              <w:rPr>
                <w:rFonts w:ascii="Verdana" w:hAnsi="Verdana"/>
                <w:sz w:val="20"/>
                <w:szCs w:val="20"/>
              </w:rPr>
              <w:t>683</w:t>
            </w:r>
          </w:p>
          <w:p w:rsidR="007A46AC" w:rsidRPr="00C14D4C" w:rsidRDefault="007A46AC" w:rsidP="00041249">
            <w:pPr>
              <w:jc w:val="center"/>
              <w:rPr>
                <w:rFonts w:ascii="Verdana" w:hAnsi="Verdana"/>
                <w:sz w:val="20"/>
                <w:szCs w:val="20"/>
              </w:rPr>
            </w:pPr>
          </w:p>
        </w:tc>
        <w:tc>
          <w:tcPr>
            <w:tcW w:w="1530" w:type="dxa"/>
          </w:tcPr>
          <w:p w:rsidR="007A46AC" w:rsidRPr="0093719F" w:rsidRDefault="007A46AC" w:rsidP="00041249">
            <w:pPr>
              <w:jc w:val="center"/>
              <w:rPr>
                <w:rFonts w:ascii="Verdana" w:hAnsi="Verdana"/>
                <w:sz w:val="20"/>
                <w:szCs w:val="20"/>
              </w:rPr>
            </w:pPr>
            <w:r w:rsidRPr="0093719F">
              <w:rPr>
                <w:rFonts w:ascii="Verdana" w:hAnsi="Verdana"/>
                <w:sz w:val="20"/>
                <w:szCs w:val="20"/>
              </w:rPr>
              <w:t>33.64%</w:t>
            </w:r>
          </w:p>
          <w:p w:rsidR="007A46AC" w:rsidRPr="00C14D4C" w:rsidRDefault="007A46AC" w:rsidP="00041249">
            <w:pPr>
              <w:jc w:val="center"/>
              <w:rPr>
                <w:rFonts w:ascii="Verdana" w:hAnsi="Verdana"/>
                <w:sz w:val="20"/>
                <w:szCs w:val="20"/>
              </w:rPr>
            </w:pPr>
          </w:p>
        </w:tc>
        <w:tc>
          <w:tcPr>
            <w:tcW w:w="1710" w:type="dxa"/>
          </w:tcPr>
          <w:p w:rsidR="007A46AC" w:rsidRPr="006D1C42" w:rsidRDefault="007A46AC" w:rsidP="00041249">
            <w:pPr>
              <w:jc w:val="center"/>
              <w:rPr>
                <w:rFonts w:ascii="Verdana" w:hAnsi="Verdana"/>
                <w:sz w:val="20"/>
                <w:szCs w:val="20"/>
              </w:rPr>
            </w:pPr>
            <w:r w:rsidRPr="006D1C42">
              <w:rPr>
                <w:rFonts w:ascii="Verdana" w:hAnsi="Verdana"/>
                <w:sz w:val="20"/>
                <w:szCs w:val="20"/>
              </w:rPr>
              <w:t>67.23%</w:t>
            </w:r>
          </w:p>
          <w:p w:rsidR="007A46AC" w:rsidRPr="00C14D4C" w:rsidRDefault="007A46AC" w:rsidP="00041249">
            <w:pPr>
              <w:jc w:val="center"/>
              <w:rPr>
                <w:rFonts w:ascii="Verdana" w:hAnsi="Verdana"/>
                <w:sz w:val="20"/>
                <w:szCs w:val="20"/>
              </w:rPr>
            </w:pPr>
          </w:p>
        </w:tc>
        <w:tc>
          <w:tcPr>
            <w:tcW w:w="1260" w:type="dxa"/>
          </w:tcPr>
          <w:p w:rsidR="00325C33" w:rsidRPr="00325C33" w:rsidRDefault="00325C33" w:rsidP="00041249">
            <w:pPr>
              <w:jc w:val="center"/>
              <w:rPr>
                <w:rFonts w:ascii="Verdana" w:hAnsi="Verdana"/>
                <w:sz w:val="20"/>
                <w:szCs w:val="20"/>
                <w:lang w:val="es-ES"/>
              </w:rPr>
            </w:pPr>
            <w:r w:rsidRPr="00325C33">
              <w:rPr>
                <w:rFonts w:ascii="Verdana" w:hAnsi="Verdana"/>
                <w:sz w:val="20"/>
                <w:szCs w:val="20"/>
                <w:lang w:val="es-ES"/>
              </w:rPr>
              <w:t>-45.07%</w:t>
            </w:r>
          </w:p>
          <w:p w:rsidR="007A46AC" w:rsidRPr="00C14D4C" w:rsidRDefault="007A46AC" w:rsidP="00041249">
            <w:pPr>
              <w:jc w:val="center"/>
              <w:rPr>
                <w:rFonts w:ascii="Verdana" w:hAnsi="Verdana"/>
                <w:sz w:val="20"/>
                <w:szCs w:val="20"/>
              </w:rPr>
            </w:pPr>
          </w:p>
        </w:tc>
        <w:tc>
          <w:tcPr>
            <w:tcW w:w="1278" w:type="dxa"/>
          </w:tcPr>
          <w:p w:rsidR="002E2C5E" w:rsidRPr="002E2C5E" w:rsidRDefault="002E2C5E" w:rsidP="00041249">
            <w:pPr>
              <w:jc w:val="center"/>
              <w:rPr>
                <w:rFonts w:ascii="Verdana" w:hAnsi="Verdana"/>
                <w:sz w:val="20"/>
                <w:szCs w:val="20"/>
                <w:lang w:val="es-ES"/>
              </w:rPr>
            </w:pPr>
            <w:r w:rsidRPr="002E2C5E">
              <w:rPr>
                <w:rFonts w:ascii="Verdana" w:hAnsi="Verdana"/>
                <w:sz w:val="20"/>
                <w:szCs w:val="20"/>
                <w:lang w:val="es-ES"/>
              </w:rPr>
              <w:t>-3.05%</w:t>
            </w:r>
          </w:p>
          <w:p w:rsidR="007A46AC" w:rsidRPr="00C14D4C" w:rsidRDefault="007A46AC" w:rsidP="00041249">
            <w:pPr>
              <w:jc w:val="center"/>
              <w:rPr>
                <w:rFonts w:ascii="Verdana" w:hAnsi="Verdana"/>
                <w:sz w:val="20"/>
                <w:szCs w:val="20"/>
              </w:rPr>
            </w:pPr>
          </w:p>
        </w:tc>
      </w:tr>
      <w:tr w:rsidR="007A46AC" w:rsidRPr="00C14D4C" w:rsidTr="008720E2">
        <w:tc>
          <w:tcPr>
            <w:tcW w:w="2268" w:type="dxa"/>
          </w:tcPr>
          <w:p w:rsidR="007A46AC" w:rsidRPr="00C14D4C" w:rsidRDefault="007A46AC" w:rsidP="00041249">
            <w:pPr>
              <w:rPr>
                <w:rFonts w:ascii="Verdana" w:hAnsi="Verdana"/>
                <w:sz w:val="20"/>
                <w:szCs w:val="20"/>
              </w:rPr>
            </w:pPr>
            <w:r w:rsidRPr="00E87CB5">
              <w:rPr>
                <w:rFonts w:ascii="Verdana" w:hAnsi="Verdana"/>
                <w:sz w:val="20"/>
                <w:szCs w:val="20"/>
              </w:rPr>
              <w:t>COMCAST CORP</w:t>
            </w:r>
          </w:p>
        </w:tc>
        <w:tc>
          <w:tcPr>
            <w:tcW w:w="1530" w:type="dxa"/>
          </w:tcPr>
          <w:p w:rsidR="007A46AC" w:rsidRPr="00C14D4C" w:rsidRDefault="007A46AC" w:rsidP="00041249">
            <w:pPr>
              <w:jc w:val="center"/>
              <w:rPr>
                <w:rFonts w:ascii="Verdana" w:hAnsi="Verdana"/>
                <w:sz w:val="20"/>
                <w:szCs w:val="20"/>
              </w:rPr>
            </w:pPr>
            <w:r w:rsidRPr="009B6ADB">
              <w:rPr>
                <w:rFonts w:ascii="Verdana" w:hAnsi="Verdana"/>
                <w:sz w:val="20"/>
                <w:szCs w:val="20"/>
              </w:rPr>
              <w:t>79,562</w:t>
            </w:r>
          </w:p>
        </w:tc>
        <w:tc>
          <w:tcPr>
            <w:tcW w:w="1530" w:type="dxa"/>
          </w:tcPr>
          <w:p w:rsidR="007A46AC" w:rsidRPr="00C14D4C" w:rsidRDefault="007A46AC" w:rsidP="00041249">
            <w:pPr>
              <w:jc w:val="center"/>
              <w:rPr>
                <w:rFonts w:ascii="Verdana" w:hAnsi="Verdana"/>
                <w:sz w:val="20"/>
                <w:szCs w:val="20"/>
              </w:rPr>
            </w:pPr>
            <w:r w:rsidRPr="0093719F">
              <w:rPr>
                <w:rFonts w:ascii="Verdana" w:hAnsi="Verdana"/>
                <w:sz w:val="20"/>
                <w:szCs w:val="20"/>
              </w:rPr>
              <w:t>18.80%</w:t>
            </w:r>
          </w:p>
        </w:tc>
        <w:tc>
          <w:tcPr>
            <w:tcW w:w="1710" w:type="dxa"/>
          </w:tcPr>
          <w:p w:rsidR="007A46AC" w:rsidRPr="00C14D4C" w:rsidRDefault="007A46AC" w:rsidP="00041249">
            <w:pPr>
              <w:jc w:val="center"/>
              <w:rPr>
                <w:rFonts w:ascii="Verdana" w:hAnsi="Verdana"/>
                <w:sz w:val="20"/>
                <w:szCs w:val="20"/>
              </w:rPr>
            </w:pPr>
            <w:r w:rsidRPr="006D1C42">
              <w:rPr>
                <w:rFonts w:ascii="Verdana" w:hAnsi="Verdana"/>
                <w:sz w:val="20"/>
                <w:szCs w:val="20"/>
              </w:rPr>
              <w:t>67.12%</w:t>
            </w:r>
          </w:p>
        </w:tc>
        <w:tc>
          <w:tcPr>
            <w:tcW w:w="1260" w:type="dxa"/>
          </w:tcPr>
          <w:p w:rsidR="007A46AC" w:rsidRPr="00325C33" w:rsidRDefault="00325C33" w:rsidP="00041249">
            <w:pPr>
              <w:jc w:val="center"/>
              <w:rPr>
                <w:rFonts w:ascii="Verdana" w:hAnsi="Verdana"/>
                <w:sz w:val="20"/>
                <w:szCs w:val="20"/>
                <w:lang w:val="es-ES"/>
              </w:rPr>
            </w:pPr>
            <w:r w:rsidRPr="00325C33">
              <w:rPr>
                <w:rFonts w:ascii="Verdana" w:hAnsi="Verdana"/>
                <w:sz w:val="20"/>
                <w:szCs w:val="20"/>
                <w:lang w:val="es-ES"/>
              </w:rPr>
              <w:t>-29.70%</w:t>
            </w:r>
          </w:p>
        </w:tc>
        <w:tc>
          <w:tcPr>
            <w:tcW w:w="1278" w:type="dxa"/>
          </w:tcPr>
          <w:p w:rsidR="007A46AC" w:rsidRPr="002E2C5E" w:rsidRDefault="002E2C5E" w:rsidP="00041249">
            <w:pPr>
              <w:jc w:val="center"/>
              <w:rPr>
                <w:rFonts w:ascii="Verdana" w:hAnsi="Verdana"/>
                <w:sz w:val="20"/>
                <w:szCs w:val="20"/>
                <w:lang w:val="es-ES"/>
              </w:rPr>
            </w:pPr>
            <w:r w:rsidRPr="002E2C5E">
              <w:rPr>
                <w:rFonts w:ascii="Verdana" w:hAnsi="Verdana"/>
                <w:sz w:val="20"/>
                <w:szCs w:val="20"/>
                <w:lang w:val="es-ES"/>
              </w:rPr>
              <w:t>8.20%</w:t>
            </w:r>
          </w:p>
        </w:tc>
      </w:tr>
      <w:tr w:rsidR="007A46AC" w:rsidRPr="00C14D4C" w:rsidTr="00A62805">
        <w:tc>
          <w:tcPr>
            <w:tcW w:w="2268" w:type="dxa"/>
          </w:tcPr>
          <w:p w:rsidR="007A46AC" w:rsidRPr="00E87CB5" w:rsidRDefault="007A46AC" w:rsidP="00041249">
            <w:pPr>
              <w:rPr>
                <w:rFonts w:ascii="Verdana" w:hAnsi="Verdana"/>
                <w:sz w:val="20"/>
                <w:szCs w:val="20"/>
                <w:lang w:val="es-ES"/>
              </w:rPr>
            </w:pPr>
            <w:r w:rsidRPr="00E87CB5">
              <w:rPr>
                <w:rFonts w:ascii="Verdana" w:hAnsi="Verdana"/>
                <w:sz w:val="20"/>
                <w:szCs w:val="20"/>
                <w:lang w:val="es-ES"/>
              </w:rPr>
              <w:t>APRIA HEALTHCARE GROUP</w:t>
            </w:r>
          </w:p>
        </w:tc>
        <w:tc>
          <w:tcPr>
            <w:tcW w:w="1530" w:type="dxa"/>
          </w:tcPr>
          <w:p w:rsidR="007A46AC" w:rsidRPr="009B6ADB" w:rsidRDefault="007A46AC" w:rsidP="00041249">
            <w:pPr>
              <w:jc w:val="center"/>
              <w:rPr>
                <w:rFonts w:ascii="Verdana" w:hAnsi="Verdana"/>
                <w:sz w:val="20"/>
                <w:szCs w:val="20"/>
              </w:rPr>
            </w:pPr>
            <w:r w:rsidRPr="009B6ADB">
              <w:rPr>
                <w:rFonts w:ascii="Verdana" w:hAnsi="Verdana"/>
                <w:sz w:val="20"/>
                <w:szCs w:val="20"/>
              </w:rPr>
              <w:t>1,474</w:t>
            </w:r>
          </w:p>
          <w:p w:rsidR="007A46AC" w:rsidRPr="00C14D4C" w:rsidRDefault="007A46AC" w:rsidP="00041249">
            <w:pPr>
              <w:jc w:val="center"/>
              <w:rPr>
                <w:rFonts w:ascii="Verdana" w:hAnsi="Verdana"/>
                <w:sz w:val="20"/>
                <w:szCs w:val="20"/>
              </w:rPr>
            </w:pPr>
          </w:p>
        </w:tc>
        <w:tc>
          <w:tcPr>
            <w:tcW w:w="1530" w:type="dxa"/>
          </w:tcPr>
          <w:p w:rsidR="007A46AC" w:rsidRPr="0093719F" w:rsidRDefault="007A46AC" w:rsidP="00041249">
            <w:pPr>
              <w:jc w:val="center"/>
              <w:rPr>
                <w:rFonts w:ascii="Verdana" w:hAnsi="Verdana"/>
                <w:sz w:val="20"/>
                <w:szCs w:val="20"/>
              </w:rPr>
            </w:pPr>
            <w:r w:rsidRPr="0093719F">
              <w:rPr>
                <w:rFonts w:ascii="Verdana" w:hAnsi="Verdana"/>
                <w:sz w:val="20"/>
                <w:szCs w:val="20"/>
              </w:rPr>
              <w:t>51.58%</w:t>
            </w:r>
          </w:p>
          <w:p w:rsidR="007A46AC" w:rsidRPr="00C14D4C" w:rsidRDefault="007A46AC" w:rsidP="00041249">
            <w:pPr>
              <w:jc w:val="center"/>
              <w:rPr>
                <w:rFonts w:ascii="Verdana" w:hAnsi="Verdana"/>
                <w:sz w:val="20"/>
                <w:szCs w:val="20"/>
              </w:rPr>
            </w:pPr>
          </w:p>
        </w:tc>
        <w:tc>
          <w:tcPr>
            <w:tcW w:w="1710" w:type="dxa"/>
          </w:tcPr>
          <w:p w:rsidR="007A46AC" w:rsidRPr="006D1C42" w:rsidRDefault="007A46AC" w:rsidP="00041249">
            <w:pPr>
              <w:jc w:val="center"/>
              <w:rPr>
                <w:rFonts w:ascii="Verdana" w:hAnsi="Verdana"/>
                <w:sz w:val="20"/>
                <w:szCs w:val="20"/>
              </w:rPr>
            </w:pPr>
            <w:r w:rsidRPr="006D1C42">
              <w:rPr>
                <w:rFonts w:ascii="Verdana" w:hAnsi="Verdana"/>
                <w:sz w:val="20"/>
                <w:szCs w:val="20"/>
              </w:rPr>
              <w:t>66.95%</w:t>
            </w:r>
          </w:p>
          <w:p w:rsidR="007A46AC" w:rsidRPr="00C14D4C" w:rsidRDefault="007A46AC" w:rsidP="00041249">
            <w:pPr>
              <w:jc w:val="center"/>
              <w:rPr>
                <w:rFonts w:ascii="Verdana" w:hAnsi="Verdana"/>
                <w:sz w:val="20"/>
                <w:szCs w:val="20"/>
              </w:rPr>
            </w:pPr>
          </w:p>
        </w:tc>
        <w:tc>
          <w:tcPr>
            <w:tcW w:w="1260" w:type="dxa"/>
          </w:tcPr>
          <w:p w:rsidR="00325C33" w:rsidRPr="00325C33" w:rsidRDefault="00325C33" w:rsidP="00041249">
            <w:pPr>
              <w:jc w:val="center"/>
              <w:rPr>
                <w:rFonts w:ascii="Verdana" w:hAnsi="Verdana"/>
                <w:sz w:val="20"/>
                <w:szCs w:val="20"/>
                <w:lang w:val="es-ES"/>
              </w:rPr>
            </w:pPr>
            <w:r w:rsidRPr="00325C33">
              <w:rPr>
                <w:rFonts w:ascii="Verdana" w:hAnsi="Verdana"/>
                <w:sz w:val="20"/>
                <w:szCs w:val="20"/>
                <w:lang w:val="es-ES"/>
              </w:rPr>
              <w:t>-36.72%</w:t>
            </w:r>
          </w:p>
          <w:p w:rsidR="007A46AC" w:rsidRPr="00C14D4C" w:rsidRDefault="007A46AC" w:rsidP="00041249">
            <w:pPr>
              <w:jc w:val="center"/>
              <w:rPr>
                <w:rFonts w:ascii="Verdana" w:hAnsi="Verdana"/>
                <w:sz w:val="20"/>
                <w:szCs w:val="20"/>
              </w:rPr>
            </w:pPr>
          </w:p>
        </w:tc>
        <w:tc>
          <w:tcPr>
            <w:tcW w:w="1278" w:type="dxa"/>
          </w:tcPr>
          <w:p w:rsidR="002E2C5E" w:rsidRPr="002E2C5E" w:rsidRDefault="002E2C5E" w:rsidP="00041249">
            <w:pPr>
              <w:jc w:val="center"/>
              <w:rPr>
                <w:rFonts w:ascii="Verdana" w:hAnsi="Verdana"/>
                <w:sz w:val="20"/>
                <w:szCs w:val="20"/>
                <w:lang w:val="es-ES"/>
              </w:rPr>
            </w:pPr>
            <w:r w:rsidRPr="002E2C5E">
              <w:rPr>
                <w:rFonts w:ascii="Verdana" w:hAnsi="Verdana"/>
                <w:sz w:val="20"/>
                <w:szCs w:val="20"/>
                <w:lang w:val="es-ES"/>
              </w:rPr>
              <w:t>-2.62%</w:t>
            </w:r>
          </w:p>
          <w:p w:rsidR="007A46AC" w:rsidRPr="00C14D4C" w:rsidRDefault="007A46AC" w:rsidP="00041249">
            <w:pPr>
              <w:jc w:val="center"/>
              <w:rPr>
                <w:rFonts w:ascii="Verdana" w:hAnsi="Verdana"/>
                <w:sz w:val="20"/>
                <w:szCs w:val="20"/>
              </w:rPr>
            </w:pPr>
          </w:p>
        </w:tc>
      </w:tr>
      <w:tr w:rsidR="007A46AC" w:rsidRPr="00C14D4C" w:rsidTr="00F3261E">
        <w:tc>
          <w:tcPr>
            <w:tcW w:w="2268" w:type="dxa"/>
          </w:tcPr>
          <w:p w:rsidR="007A46AC" w:rsidRPr="00C14D4C" w:rsidRDefault="007A46AC" w:rsidP="00041249">
            <w:pPr>
              <w:rPr>
                <w:rFonts w:ascii="Verdana" w:hAnsi="Verdana"/>
                <w:sz w:val="20"/>
                <w:szCs w:val="20"/>
              </w:rPr>
            </w:pPr>
            <w:r w:rsidRPr="00E87CB5">
              <w:rPr>
                <w:rFonts w:ascii="Verdana" w:hAnsi="Verdana"/>
                <w:sz w:val="20"/>
                <w:szCs w:val="20"/>
              </w:rPr>
              <w:t>TOWERS WATSON &amp; CO</w:t>
            </w:r>
          </w:p>
        </w:tc>
        <w:tc>
          <w:tcPr>
            <w:tcW w:w="1530" w:type="dxa"/>
          </w:tcPr>
          <w:p w:rsidR="007A46AC" w:rsidRPr="009B6ADB" w:rsidRDefault="007A46AC" w:rsidP="00041249">
            <w:pPr>
              <w:jc w:val="center"/>
              <w:rPr>
                <w:rFonts w:ascii="Verdana" w:hAnsi="Verdana"/>
                <w:sz w:val="20"/>
                <w:szCs w:val="20"/>
              </w:rPr>
            </w:pPr>
            <w:r w:rsidRPr="009B6ADB">
              <w:rPr>
                <w:rFonts w:ascii="Verdana" w:hAnsi="Verdana"/>
                <w:sz w:val="20"/>
                <w:szCs w:val="20"/>
              </w:rPr>
              <w:t>3,046</w:t>
            </w:r>
          </w:p>
          <w:p w:rsidR="007A46AC" w:rsidRPr="00C14D4C" w:rsidRDefault="007A46AC" w:rsidP="00041249">
            <w:pPr>
              <w:jc w:val="center"/>
              <w:rPr>
                <w:rFonts w:ascii="Verdana" w:hAnsi="Verdana"/>
                <w:sz w:val="20"/>
                <w:szCs w:val="20"/>
              </w:rPr>
            </w:pPr>
          </w:p>
        </w:tc>
        <w:tc>
          <w:tcPr>
            <w:tcW w:w="1530" w:type="dxa"/>
          </w:tcPr>
          <w:p w:rsidR="007A46AC" w:rsidRPr="0093719F" w:rsidRDefault="007A46AC" w:rsidP="00041249">
            <w:pPr>
              <w:jc w:val="center"/>
              <w:rPr>
                <w:rFonts w:ascii="Verdana" w:hAnsi="Verdana"/>
                <w:sz w:val="20"/>
                <w:szCs w:val="20"/>
              </w:rPr>
            </w:pPr>
            <w:r w:rsidRPr="0093719F">
              <w:rPr>
                <w:rFonts w:ascii="Verdana" w:hAnsi="Verdana"/>
                <w:sz w:val="20"/>
                <w:szCs w:val="20"/>
              </w:rPr>
              <w:t>56.70%</w:t>
            </w:r>
          </w:p>
          <w:p w:rsidR="007A46AC" w:rsidRPr="00C14D4C" w:rsidRDefault="007A46AC" w:rsidP="00041249">
            <w:pPr>
              <w:jc w:val="center"/>
              <w:rPr>
                <w:rFonts w:ascii="Verdana" w:hAnsi="Verdana"/>
                <w:sz w:val="20"/>
                <w:szCs w:val="20"/>
              </w:rPr>
            </w:pPr>
          </w:p>
        </w:tc>
        <w:tc>
          <w:tcPr>
            <w:tcW w:w="1710" w:type="dxa"/>
          </w:tcPr>
          <w:p w:rsidR="007A46AC" w:rsidRPr="006D1C42" w:rsidRDefault="007A46AC" w:rsidP="00041249">
            <w:pPr>
              <w:jc w:val="center"/>
              <w:rPr>
                <w:rFonts w:ascii="Verdana" w:hAnsi="Verdana"/>
                <w:sz w:val="20"/>
                <w:szCs w:val="20"/>
              </w:rPr>
            </w:pPr>
            <w:r w:rsidRPr="006D1C42">
              <w:rPr>
                <w:rFonts w:ascii="Verdana" w:hAnsi="Verdana"/>
                <w:sz w:val="20"/>
                <w:szCs w:val="20"/>
              </w:rPr>
              <w:t>66.61%</w:t>
            </w:r>
          </w:p>
          <w:p w:rsidR="007A46AC" w:rsidRPr="00C14D4C" w:rsidRDefault="007A46AC" w:rsidP="00041249">
            <w:pPr>
              <w:jc w:val="center"/>
              <w:rPr>
                <w:rFonts w:ascii="Verdana" w:hAnsi="Verdana"/>
                <w:sz w:val="20"/>
                <w:szCs w:val="20"/>
              </w:rPr>
            </w:pPr>
          </w:p>
        </w:tc>
        <w:tc>
          <w:tcPr>
            <w:tcW w:w="1260" w:type="dxa"/>
          </w:tcPr>
          <w:p w:rsidR="00325C33" w:rsidRPr="00325C33" w:rsidRDefault="00325C33" w:rsidP="00041249">
            <w:pPr>
              <w:jc w:val="center"/>
              <w:rPr>
                <w:rFonts w:ascii="Verdana" w:hAnsi="Verdana"/>
                <w:sz w:val="20"/>
                <w:szCs w:val="20"/>
                <w:lang w:val="es-ES"/>
              </w:rPr>
            </w:pPr>
            <w:r w:rsidRPr="00325C33">
              <w:rPr>
                <w:rFonts w:ascii="Verdana" w:hAnsi="Verdana"/>
                <w:sz w:val="20"/>
                <w:szCs w:val="20"/>
                <w:lang w:val="es-ES"/>
              </w:rPr>
              <w:t>-23.85%</w:t>
            </w:r>
          </w:p>
          <w:p w:rsidR="007A46AC" w:rsidRPr="00C14D4C" w:rsidRDefault="007A46AC" w:rsidP="00041249">
            <w:pPr>
              <w:jc w:val="center"/>
              <w:rPr>
                <w:rFonts w:ascii="Verdana" w:hAnsi="Verdana"/>
                <w:sz w:val="20"/>
                <w:szCs w:val="20"/>
              </w:rPr>
            </w:pPr>
          </w:p>
        </w:tc>
        <w:tc>
          <w:tcPr>
            <w:tcW w:w="1278" w:type="dxa"/>
          </w:tcPr>
          <w:p w:rsidR="002E2C5E" w:rsidRPr="002E2C5E" w:rsidRDefault="002E2C5E" w:rsidP="00041249">
            <w:pPr>
              <w:jc w:val="center"/>
              <w:rPr>
                <w:rFonts w:ascii="Verdana" w:hAnsi="Verdana"/>
                <w:sz w:val="20"/>
                <w:szCs w:val="20"/>
                <w:lang w:val="es-ES"/>
              </w:rPr>
            </w:pPr>
            <w:r w:rsidRPr="002E2C5E">
              <w:rPr>
                <w:rFonts w:ascii="Verdana" w:hAnsi="Verdana"/>
                <w:sz w:val="20"/>
                <w:szCs w:val="20"/>
                <w:lang w:val="es-ES"/>
              </w:rPr>
              <w:t>6.17%</w:t>
            </w:r>
          </w:p>
          <w:p w:rsidR="007A46AC" w:rsidRPr="00C14D4C" w:rsidRDefault="007A46AC" w:rsidP="00041249">
            <w:pPr>
              <w:jc w:val="center"/>
              <w:rPr>
                <w:rFonts w:ascii="Verdana" w:hAnsi="Verdana"/>
                <w:sz w:val="20"/>
                <w:szCs w:val="20"/>
              </w:rPr>
            </w:pPr>
          </w:p>
        </w:tc>
      </w:tr>
      <w:tr w:rsidR="007A46AC" w:rsidRPr="00C14D4C" w:rsidTr="001C008B">
        <w:tc>
          <w:tcPr>
            <w:tcW w:w="2268" w:type="dxa"/>
          </w:tcPr>
          <w:p w:rsidR="007A46AC" w:rsidRPr="00E87CB5" w:rsidRDefault="007A46AC" w:rsidP="00041249">
            <w:pPr>
              <w:rPr>
                <w:rFonts w:ascii="Verdana" w:hAnsi="Verdana"/>
                <w:sz w:val="20"/>
                <w:szCs w:val="20"/>
                <w:lang w:val="es-ES"/>
              </w:rPr>
            </w:pPr>
            <w:r w:rsidRPr="00E87CB5">
              <w:rPr>
                <w:rFonts w:ascii="Verdana" w:hAnsi="Verdana"/>
                <w:sz w:val="20"/>
                <w:szCs w:val="20"/>
                <w:lang w:val="es-ES"/>
              </w:rPr>
              <w:t>GRUPO AEROPORTUARIO DEL PACI</w:t>
            </w:r>
          </w:p>
        </w:tc>
        <w:tc>
          <w:tcPr>
            <w:tcW w:w="1530" w:type="dxa"/>
          </w:tcPr>
          <w:p w:rsidR="007A46AC" w:rsidRPr="009B6ADB" w:rsidRDefault="007A46AC" w:rsidP="00041249">
            <w:pPr>
              <w:jc w:val="center"/>
              <w:rPr>
                <w:rFonts w:ascii="Verdana" w:hAnsi="Verdana"/>
                <w:sz w:val="20"/>
                <w:szCs w:val="20"/>
              </w:rPr>
            </w:pPr>
            <w:r w:rsidRPr="009B6ADB">
              <w:rPr>
                <w:rFonts w:ascii="Verdana" w:hAnsi="Verdana"/>
                <w:sz w:val="20"/>
                <w:szCs w:val="20"/>
              </w:rPr>
              <w:t>1,553</w:t>
            </w:r>
          </w:p>
          <w:p w:rsidR="007A46AC" w:rsidRPr="00C14D4C" w:rsidRDefault="007A46AC" w:rsidP="00041249">
            <w:pPr>
              <w:jc w:val="center"/>
              <w:rPr>
                <w:rFonts w:ascii="Verdana" w:hAnsi="Verdana"/>
                <w:sz w:val="20"/>
                <w:szCs w:val="20"/>
              </w:rPr>
            </w:pPr>
          </w:p>
        </w:tc>
        <w:tc>
          <w:tcPr>
            <w:tcW w:w="1530" w:type="dxa"/>
          </w:tcPr>
          <w:p w:rsidR="007A46AC" w:rsidRPr="0093719F" w:rsidRDefault="007A46AC" w:rsidP="00041249">
            <w:pPr>
              <w:jc w:val="center"/>
              <w:rPr>
                <w:rFonts w:ascii="Verdana" w:hAnsi="Verdana"/>
                <w:sz w:val="20"/>
                <w:szCs w:val="20"/>
              </w:rPr>
            </w:pPr>
            <w:r w:rsidRPr="0093719F">
              <w:rPr>
                <w:rFonts w:ascii="Verdana" w:hAnsi="Verdana"/>
                <w:sz w:val="20"/>
                <w:szCs w:val="20"/>
              </w:rPr>
              <w:t>0.00%</w:t>
            </w:r>
          </w:p>
          <w:p w:rsidR="007A46AC" w:rsidRPr="00C14D4C" w:rsidRDefault="007A46AC" w:rsidP="00041249">
            <w:pPr>
              <w:jc w:val="center"/>
              <w:rPr>
                <w:rFonts w:ascii="Verdana" w:hAnsi="Verdana"/>
                <w:sz w:val="20"/>
                <w:szCs w:val="20"/>
              </w:rPr>
            </w:pPr>
          </w:p>
        </w:tc>
        <w:tc>
          <w:tcPr>
            <w:tcW w:w="1710" w:type="dxa"/>
          </w:tcPr>
          <w:p w:rsidR="007A46AC" w:rsidRPr="006D1C42" w:rsidRDefault="007A46AC" w:rsidP="00041249">
            <w:pPr>
              <w:jc w:val="center"/>
              <w:rPr>
                <w:rFonts w:ascii="Verdana" w:hAnsi="Verdana"/>
                <w:sz w:val="20"/>
                <w:szCs w:val="20"/>
              </w:rPr>
            </w:pPr>
            <w:r w:rsidRPr="006D1C42">
              <w:rPr>
                <w:rFonts w:ascii="Verdana" w:hAnsi="Verdana"/>
                <w:sz w:val="20"/>
                <w:szCs w:val="20"/>
              </w:rPr>
              <w:t>66.55%</w:t>
            </w:r>
          </w:p>
          <w:p w:rsidR="007A46AC" w:rsidRPr="00C14D4C" w:rsidRDefault="007A46AC" w:rsidP="00041249">
            <w:pPr>
              <w:jc w:val="center"/>
              <w:rPr>
                <w:rFonts w:ascii="Verdana" w:hAnsi="Verdana"/>
                <w:sz w:val="20"/>
                <w:szCs w:val="20"/>
              </w:rPr>
            </w:pPr>
          </w:p>
        </w:tc>
        <w:tc>
          <w:tcPr>
            <w:tcW w:w="1260" w:type="dxa"/>
          </w:tcPr>
          <w:p w:rsidR="00325C33" w:rsidRPr="00325C33" w:rsidRDefault="00325C33" w:rsidP="00041249">
            <w:pPr>
              <w:jc w:val="center"/>
              <w:rPr>
                <w:rFonts w:ascii="Verdana" w:hAnsi="Verdana"/>
                <w:sz w:val="20"/>
                <w:szCs w:val="20"/>
                <w:lang w:val="es-ES"/>
              </w:rPr>
            </w:pPr>
            <w:r w:rsidRPr="00325C33">
              <w:rPr>
                <w:rFonts w:ascii="Verdana" w:hAnsi="Verdana"/>
                <w:sz w:val="20"/>
                <w:szCs w:val="20"/>
                <w:lang w:val="es-ES"/>
              </w:rPr>
              <w:t>25.77%</w:t>
            </w:r>
          </w:p>
          <w:p w:rsidR="007A46AC" w:rsidRPr="00C14D4C" w:rsidRDefault="007A46AC" w:rsidP="00041249">
            <w:pPr>
              <w:jc w:val="center"/>
              <w:rPr>
                <w:rFonts w:ascii="Verdana" w:hAnsi="Verdana"/>
                <w:sz w:val="20"/>
                <w:szCs w:val="20"/>
              </w:rPr>
            </w:pPr>
          </w:p>
        </w:tc>
        <w:tc>
          <w:tcPr>
            <w:tcW w:w="1278" w:type="dxa"/>
          </w:tcPr>
          <w:p w:rsidR="002E2C5E" w:rsidRPr="002E2C5E" w:rsidRDefault="002E2C5E" w:rsidP="00041249">
            <w:pPr>
              <w:jc w:val="center"/>
              <w:rPr>
                <w:rFonts w:ascii="Verdana" w:hAnsi="Verdana"/>
                <w:sz w:val="20"/>
                <w:szCs w:val="20"/>
                <w:lang w:val="es-ES"/>
              </w:rPr>
            </w:pPr>
            <w:r w:rsidRPr="002E2C5E">
              <w:rPr>
                <w:rFonts w:ascii="Verdana" w:hAnsi="Verdana"/>
                <w:sz w:val="20"/>
                <w:szCs w:val="20"/>
                <w:lang w:val="es-ES"/>
              </w:rPr>
              <w:t>5.62%</w:t>
            </w:r>
          </w:p>
          <w:p w:rsidR="007A46AC" w:rsidRPr="00C14D4C" w:rsidRDefault="007A46AC" w:rsidP="00041249">
            <w:pPr>
              <w:jc w:val="center"/>
              <w:rPr>
                <w:rFonts w:ascii="Verdana" w:hAnsi="Verdana"/>
                <w:sz w:val="20"/>
                <w:szCs w:val="20"/>
              </w:rPr>
            </w:pPr>
          </w:p>
        </w:tc>
      </w:tr>
      <w:tr w:rsidR="007A46AC" w:rsidRPr="00E87CB5" w:rsidTr="009F40DC">
        <w:tc>
          <w:tcPr>
            <w:tcW w:w="2268" w:type="dxa"/>
          </w:tcPr>
          <w:p w:rsidR="007A46AC" w:rsidRPr="00E87CB5" w:rsidRDefault="007A46AC" w:rsidP="00041249">
            <w:pPr>
              <w:rPr>
                <w:rFonts w:ascii="Verdana" w:hAnsi="Verdana"/>
                <w:sz w:val="20"/>
                <w:szCs w:val="20"/>
                <w:lang w:val="es-ES"/>
              </w:rPr>
            </w:pPr>
            <w:r>
              <w:rPr>
                <w:rFonts w:ascii="Verdana" w:hAnsi="Verdana"/>
                <w:sz w:val="20"/>
                <w:szCs w:val="20"/>
                <w:lang w:val="es-ES"/>
              </w:rPr>
              <w:t>CHINA REAL ESTATE INFO</w:t>
            </w:r>
            <w:r w:rsidRPr="00E87CB5">
              <w:rPr>
                <w:rFonts w:ascii="Verdana" w:hAnsi="Verdana"/>
                <w:sz w:val="20"/>
                <w:szCs w:val="20"/>
                <w:lang w:val="es-ES"/>
              </w:rPr>
              <w:t>-ADR</w:t>
            </w:r>
          </w:p>
        </w:tc>
        <w:tc>
          <w:tcPr>
            <w:tcW w:w="1530" w:type="dxa"/>
          </w:tcPr>
          <w:p w:rsidR="007A46AC" w:rsidRPr="00E87CB5" w:rsidRDefault="007A46AC" w:rsidP="00041249">
            <w:pPr>
              <w:jc w:val="center"/>
              <w:rPr>
                <w:rFonts w:ascii="Verdana" w:hAnsi="Verdana"/>
                <w:sz w:val="20"/>
                <w:szCs w:val="20"/>
                <w:lang w:val="es-ES"/>
              </w:rPr>
            </w:pPr>
            <w:r w:rsidRPr="009B6ADB">
              <w:rPr>
                <w:rFonts w:ascii="Verdana" w:hAnsi="Verdana"/>
                <w:sz w:val="20"/>
                <w:szCs w:val="20"/>
              </w:rPr>
              <w:t>639</w:t>
            </w:r>
          </w:p>
        </w:tc>
        <w:tc>
          <w:tcPr>
            <w:tcW w:w="1530" w:type="dxa"/>
          </w:tcPr>
          <w:p w:rsidR="007A46AC" w:rsidRPr="0093719F" w:rsidRDefault="007A46AC" w:rsidP="00041249">
            <w:pPr>
              <w:jc w:val="center"/>
              <w:rPr>
                <w:rFonts w:ascii="Verdana" w:hAnsi="Verdana"/>
                <w:sz w:val="20"/>
                <w:szCs w:val="20"/>
              </w:rPr>
            </w:pPr>
            <w:r w:rsidRPr="0093719F">
              <w:rPr>
                <w:rFonts w:ascii="Verdana" w:hAnsi="Verdana"/>
                <w:sz w:val="20"/>
                <w:szCs w:val="20"/>
              </w:rPr>
              <w:t>70.46%</w:t>
            </w:r>
          </w:p>
          <w:p w:rsidR="007A46AC" w:rsidRPr="00E87CB5" w:rsidRDefault="007A46AC" w:rsidP="00041249">
            <w:pPr>
              <w:jc w:val="center"/>
              <w:rPr>
                <w:rFonts w:ascii="Verdana" w:hAnsi="Verdana"/>
                <w:sz w:val="20"/>
                <w:szCs w:val="20"/>
                <w:lang w:val="es-ES"/>
              </w:rPr>
            </w:pPr>
          </w:p>
        </w:tc>
        <w:tc>
          <w:tcPr>
            <w:tcW w:w="1710" w:type="dxa"/>
          </w:tcPr>
          <w:p w:rsidR="007A46AC" w:rsidRPr="006D1C42" w:rsidRDefault="007A46AC" w:rsidP="00041249">
            <w:pPr>
              <w:jc w:val="center"/>
              <w:rPr>
                <w:rFonts w:ascii="Verdana" w:hAnsi="Verdana"/>
                <w:sz w:val="20"/>
                <w:szCs w:val="20"/>
              </w:rPr>
            </w:pPr>
            <w:r w:rsidRPr="006D1C42">
              <w:rPr>
                <w:rFonts w:ascii="Verdana" w:hAnsi="Verdana"/>
                <w:sz w:val="20"/>
                <w:szCs w:val="20"/>
              </w:rPr>
              <w:t>58.96%</w:t>
            </w:r>
          </w:p>
          <w:p w:rsidR="007A46AC" w:rsidRPr="00E87CB5" w:rsidRDefault="007A46AC" w:rsidP="00041249">
            <w:pPr>
              <w:jc w:val="center"/>
              <w:rPr>
                <w:rFonts w:ascii="Verdana" w:hAnsi="Verdana"/>
                <w:sz w:val="20"/>
                <w:szCs w:val="20"/>
                <w:lang w:val="es-ES"/>
              </w:rPr>
            </w:pPr>
          </w:p>
        </w:tc>
        <w:tc>
          <w:tcPr>
            <w:tcW w:w="1260" w:type="dxa"/>
          </w:tcPr>
          <w:p w:rsidR="00325C33" w:rsidRPr="00325C33" w:rsidRDefault="00325C33" w:rsidP="00041249">
            <w:pPr>
              <w:jc w:val="center"/>
              <w:rPr>
                <w:rFonts w:ascii="Verdana" w:hAnsi="Verdana"/>
                <w:sz w:val="20"/>
                <w:szCs w:val="20"/>
                <w:lang w:val="es-ES"/>
              </w:rPr>
            </w:pPr>
            <w:r w:rsidRPr="00325C33">
              <w:rPr>
                <w:rFonts w:ascii="Verdana" w:hAnsi="Verdana"/>
                <w:sz w:val="20"/>
                <w:szCs w:val="20"/>
                <w:lang w:val="es-ES"/>
              </w:rPr>
              <w:t>32.22%</w:t>
            </w:r>
          </w:p>
          <w:p w:rsidR="007A46AC" w:rsidRPr="00E87CB5" w:rsidRDefault="007A46AC" w:rsidP="00041249">
            <w:pPr>
              <w:jc w:val="center"/>
              <w:rPr>
                <w:rFonts w:ascii="Verdana" w:hAnsi="Verdana"/>
                <w:sz w:val="20"/>
                <w:szCs w:val="20"/>
                <w:lang w:val="es-ES"/>
              </w:rPr>
            </w:pPr>
          </w:p>
        </w:tc>
        <w:tc>
          <w:tcPr>
            <w:tcW w:w="1278" w:type="dxa"/>
          </w:tcPr>
          <w:p w:rsidR="002E2C5E" w:rsidRPr="002E2C5E" w:rsidRDefault="002E2C5E" w:rsidP="00041249">
            <w:pPr>
              <w:jc w:val="center"/>
              <w:rPr>
                <w:rFonts w:ascii="Verdana" w:hAnsi="Verdana"/>
                <w:sz w:val="20"/>
                <w:szCs w:val="20"/>
                <w:lang w:val="es-ES"/>
              </w:rPr>
            </w:pPr>
            <w:r w:rsidRPr="002E2C5E">
              <w:rPr>
                <w:rFonts w:ascii="Verdana" w:hAnsi="Verdana"/>
                <w:sz w:val="20"/>
                <w:szCs w:val="20"/>
                <w:lang w:val="es-ES"/>
              </w:rPr>
              <w:t>2.62%</w:t>
            </w:r>
          </w:p>
          <w:p w:rsidR="007A46AC" w:rsidRPr="00E87CB5" w:rsidRDefault="007A46AC" w:rsidP="00041249">
            <w:pPr>
              <w:jc w:val="center"/>
              <w:rPr>
                <w:rFonts w:ascii="Verdana" w:hAnsi="Verdana"/>
                <w:sz w:val="20"/>
                <w:szCs w:val="20"/>
                <w:lang w:val="es-ES"/>
              </w:rPr>
            </w:pPr>
          </w:p>
        </w:tc>
      </w:tr>
      <w:tr w:rsidR="007A46AC" w:rsidRPr="00E87CB5" w:rsidTr="00CB21FC">
        <w:tc>
          <w:tcPr>
            <w:tcW w:w="2268" w:type="dxa"/>
          </w:tcPr>
          <w:p w:rsidR="007A46AC" w:rsidRPr="00E87CB5" w:rsidRDefault="007A46AC" w:rsidP="00041249">
            <w:pPr>
              <w:rPr>
                <w:rFonts w:ascii="Verdana" w:hAnsi="Verdana"/>
                <w:sz w:val="20"/>
                <w:szCs w:val="20"/>
              </w:rPr>
            </w:pPr>
            <w:r w:rsidRPr="00E87CB5">
              <w:rPr>
                <w:rFonts w:ascii="Verdana" w:hAnsi="Verdana"/>
                <w:sz w:val="20"/>
                <w:szCs w:val="20"/>
              </w:rPr>
              <w:t>VITAMIN SHOPPE</w:t>
            </w:r>
          </w:p>
        </w:tc>
        <w:tc>
          <w:tcPr>
            <w:tcW w:w="1530" w:type="dxa"/>
          </w:tcPr>
          <w:p w:rsidR="007A46AC" w:rsidRPr="00D16D83" w:rsidRDefault="007A46AC" w:rsidP="00041249">
            <w:pPr>
              <w:jc w:val="center"/>
              <w:rPr>
                <w:rFonts w:ascii="Verdana" w:hAnsi="Verdana"/>
                <w:sz w:val="20"/>
                <w:szCs w:val="20"/>
              </w:rPr>
            </w:pPr>
            <w:r w:rsidRPr="009B6ADB">
              <w:rPr>
                <w:rFonts w:ascii="Verdana" w:hAnsi="Verdana"/>
                <w:sz w:val="20"/>
                <w:szCs w:val="20"/>
              </w:rPr>
              <w:t>269</w:t>
            </w:r>
          </w:p>
        </w:tc>
        <w:tc>
          <w:tcPr>
            <w:tcW w:w="1530" w:type="dxa"/>
          </w:tcPr>
          <w:p w:rsidR="007A46AC" w:rsidRPr="0093719F" w:rsidRDefault="007A46AC" w:rsidP="00041249">
            <w:pPr>
              <w:jc w:val="center"/>
              <w:rPr>
                <w:rFonts w:ascii="Verdana" w:hAnsi="Verdana"/>
                <w:sz w:val="20"/>
                <w:szCs w:val="20"/>
              </w:rPr>
            </w:pPr>
            <w:r w:rsidRPr="0093719F">
              <w:rPr>
                <w:rFonts w:ascii="Verdana" w:hAnsi="Verdana"/>
                <w:sz w:val="20"/>
                <w:szCs w:val="20"/>
              </w:rPr>
              <w:t>65.79%</w:t>
            </w:r>
          </w:p>
        </w:tc>
        <w:tc>
          <w:tcPr>
            <w:tcW w:w="1710" w:type="dxa"/>
          </w:tcPr>
          <w:p w:rsidR="007A46AC" w:rsidRPr="006D1C42" w:rsidRDefault="007A46AC" w:rsidP="00041249">
            <w:pPr>
              <w:jc w:val="center"/>
              <w:rPr>
                <w:rFonts w:ascii="Verdana" w:hAnsi="Verdana"/>
                <w:sz w:val="20"/>
                <w:szCs w:val="20"/>
              </w:rPr>
            </w:pPr>
            <w:r w:rsidRPr="006D1C42">
              <w:rPr>
                <w:rFonts w:ascii="Verdana" w:hAnsi="Verdana"/>
                <w:sz w:val="20"/>
                <w:szCs w:val="20"/>
              </w:rPr>
              <w:t>55.47%</w:t>
            </w:r>
          </w:p>
        </w:tc>
        <w:tc>
          <w:tcPr>
            <w:tcW w:w="1260" w:type="dxa"/>
          </w:tcPr>
          <w:p w:rsidR="007A46AC" w:rsidRPr="00E87CB5" w:rsidRDefault="00325C33" w:rsidP="00041249">
            <w:pPr>
              <w:jc w:val="center"/>
              <w:rPr>
                <w:rFonts w:ascii="Verdana" w:hAnsi="Verdana"/>
                <w:sz w:val="20"/>
                <w:szCs w:val="20"/>
                <w:lang w:val="es-ES"/>
              </w:rPr>
            </w:pPr>
            <w:r w:rsidRPr="00325C33">
              <w:rPr>
                <w:rFonts w:ascii="Verdana" w:hAnsi="Verdana"/>
                <w:sz w:val="20"/>
                <w:szCs w:val="20"/>
                <w:lang w:val="es-ES"/>
              </w:rPr>
              <w:t>22.61%</w:t>
            </w:r>
          </w:p>
        </w:tc>
        <w:tc>
          <w:tcPr>
            <w:tcW w:w="1278" w:type="dxa"/>
          </w:tcPr>
          <w:p w:rsidR="007A46AC" w:rsidRPr="00E87CB5" w:rsidRDefault="002E2C5E" w:rsidP="00041249">
            <w:pPr>
              <w:jc w:val="center"/>
              <w:rPr>
                <w:rFonts w:ascii="Verdana" w:hAnsi="Verdana"/>
                <w:sz w:val="20"/>
                <w:szCs w:val="20"/>
                <w:lang w:val="es-ES"/>
              </w:rPr>
            </w:pPr>
            <w:r w:rsidRPr="002E2C5E">
              <w:rPr>
                <w:rFonts w:ascii="Verdana" w:hAnsi="Verdana"/>
                <w:sz w:val="20"/>
                <w:szCs w:val="20"/>
                <w:lang w:val="es-ES"/>
              </w:rPr>
              <w:t>9.82%</w:t>
            </w:r>
          </w:p>
        </w:tc>
      </w:tr>
      <w:tr w:rsidR="007A46AC" w:rsidRPr="00E87CB5" w:rsidTr="006C32F4">
        <w:tc>
          <w:tcPr>
            <w:tcW w:w="2268" w:type="dxa"/>
          </w:tcPr>
          <w:p w:rsidR="007A46AC" w:rsidRPr="00E87CB5" w:rsidRDefault="007A46AC" w:rsidP="00041249">
            <w:pPr>
              <w:rPr>
                <w:rFonts w:ascii="Verdana" w:hAnsi="Verdana"/>
                <w:sz w:val="20"/>
                <w:szCs w:val="20"/>
                <w:lang w:val="es-ES"/>
              </w:rPr>
            </w:pPr>
            <w:r w:rsidRPr="00E87CB5">
              <w:rPr>
                <w:rFonts w:ascii="Verdana" w:hAnsi="Verdana"/>
                <w:sz w:val="20"/>
                <w:szCs w:val="20"/>
              </w:rPr>
              <w:t>SOLTA MEDICAL</w:t>
            </w:r>
          </w:p>
        </w:tc>
        <w:tc>
          <w:tcPr>
            <w:tcW w:w="1530" w:type="dxa"/>
          </w:tcPr>
          <w:p w:rsidR="007A46AC" w:rsidRPr="00E87CB5" w:rsidRDefault="007A46AC" w:rsidP="00041249">
            <w:pPr>
              <w:jc w:val="center"/>
              <w:rPr>
                <w:rFonts w:ascii="Verdana" w:hAnsi="Verdana"/>
                <w:sz w:val="20"/>
                <w:szCs w:val="20"/>
                <w:lang w:val="es-ES"/>
              </w:rPr>
            </w:pPr>
            <w:r w:rsidRPr="009B6ADB">
              <w:rPr>
                <w:rFonts w:ascii="Verdana" w:hAnsi="Verdana"/>
                <w:sz w:val="20"/>
                <w:szCs w:val="20"/>
              </w:rPr>
              <w:t>86</w:t>
            </w:r>
          </w:p>
        </w:tc>
        <w:tc>
          <w:tcPr>
            <w:tcW w:w="1530" w:type="dxa"/>
          </w:tcPr>
          <w:p w:rsidR="007A46AC" w:rsidRPr="00E87CB5" w:rsidRDefault="007A46AC" w:rsidP="00041249">
            <w:pPr>
              <w:jc w:val="center"/>
              <w:rPr>
                <w:rFonts w:ascii="Verdana" w:hAnsi="Verdana"/>
                <w:sz w:val="20"/>
                <w:szCs w:val="20"/>
                <w:lang w:val="es-ES"/>
              </w:rPr>
            </w:pPr>
            <w:r w:rsidRPr="0093719F">
              <w:rPr>
                <w:rFonts w:ascii="Verdana" w:hAnsi="Verdana"/>
                <w:sz w:val="20"/>
                <w:szCs w:val="20"/>
              </w:rPr>
              <w:t>57.34%</w:t>
            </w:r>
          </w:p>
        </w:tc>
        <w:tc>
          <w:tcPr>
            <w:tcW w:w="1710" w:type="dxa"/>
          </w:tcPr>
          <w:p w:rsidR="007A46AC" w:rsidRPr="00E87CB5" w:rsidRDefault="007A46AC" w:rsidP="00041249">
            <w:pPr>
              <w:jc w:val="center"/>
              <w:rPr>
                <w:rFonts w:ascii="Verdana" w:hAnsi="Verdana"/>
                <w:sz w:val="20"/>
                <w:szCs w:val="20"/>
                <w:lang w:val="es-ES"/>
              </w:rPr>
            </w:pPr>
            <w:r w:rsidRPr="006D1C42">
              <w:rPr>
                <w:rFonts w:ascii="Verdana" w:hAnsi="Verdana"/>
                <w:sz w:val="20"/>
                <w:szCs w:val="20"/>
              </w:rPr>
              <w:t>54.43%</w:t>
            </w:r>
          </w:p>
        </w:tc>
        <w:tc>
          <w:tcPr>
            <w:tcW w:w="1260" w:type="dxa"/>
          </w:tcPr>
          <w:p w:rsidR="007A46AC" w:rsidRPr="00E87CB5" w:rsidRDefault="00325C33" w:rsidP="00041249">
            <w:pPr>
              <w:jc w:val="center"/>
              <w:rPr>
                <w:rFonts w:ascii="Verdana" w:hAnsi="Verdana"/>
                <w:sz w:val="20"/>
                <w:szCs w:val="20"/>
                <w:lang w:val="es-ES"/>
              </w:rPr>
            </w:pPr>
            <w:r w:rsidRPr="00325C33">
              <w:rPr>
                <w:rFonts w:ascii="Verdana" w:hAnsi="Verdana"/>
                <w:sz w:val="20"/>
                <w:szCs w:val="20"/>
                <w:lang w:val="es-ES"/>
              </w:rPr>
              <w:t>22.52%</w:t>
            </w:r>
          </w:p>
        </w:tc>
        <w:tc>
          <w:tcPr>
            <w:tcW w:w="1278" w:type="dxa"/>
          </w:tcPr>
          <w:p w:rsidR="007A46AC" w:rsidRPr="00E87CB5" w:rsidRDefault="002E2C5E" w:rsidP="00041249">
            <w:pPr>
              <w:jc w:val="center"/>
              <w:rPr>
                <w:rFonts w:ascii="Verdana" w:hAnsi="Verdana"/>
                <w:sz w:val="20"/>
                <w:szCs w:val="20"/>
                <w:lang w:val="es-ES"/>
              </w:rPr>
            </w:pPr>
            <w:r w:rsidRPr="002E2C5E">
              <w:rPr>
                <w:rFonts w:ascii="Verdana" w:hAnsi="Verdana"/>
                <w:sz w:val="20"/>
                <w:szCs w:val="20"/>
                <w:lang w:val="es-ES"/>
              </w:rPr>
              <w:t>-1.65%</w:t>
            </w:r>
          </w:p>
        </w:tc>
      </w:tr>
      <w:tr w:rsidR="007A46AC" w:rsidRPr="00C14D4C" w:rsidTr="00136666">
        <w:tc>
          <w:tcPr>
            <w:tcW w:w="2268" w:type="dxa"/>
          </w:tcPr>
          <w:p w:rsidR="007A46AC" w:rsidRPr="00C14D4C" w:rsidRDefault="007A46AC" w:rsidP="00041249">
            <w:pPr>
              <w:rPr>
                <w:rFonts w:ascii="Verdana" w:hAnsi="Verdana"/>
                <w:sz w:val="20"/>
                <w:szCs w:val="20"/>
              </w:rPr>
            </w:pPr>
            <w:r w:rsidRPr="00E87CB5">
              <w:rPr>
                <w:rFonts w:ascii="Verdana" w:hAnsi="Verdana"/>
                <w:sz w:val="20"/>
                <w:szCs w:val="20"/>
              </w:rPr>
              <w:t>ASIAINFO-LINKAGE</w:t>
            </w:r>
          </w:p>
        </w:tc>
        <w:tc>
          <w:tcPr>
            <w:tcW w:w="1530" w:type="dxa"/>
          </w:tcPr>
          <w:p w:rsidR="007A46AC" w:rsidRPr="00C14D4C" w:rsidRDefault="007A46AC" w:rsidP="00041249">
            <w:pPr>
              <w:jc w:val="center"/>
              <w:rPr>
                <w:rFonts w:ascii="Verdana" w:hAnsi="Verdana"/>
                <w:sz w:val="20"/>
                <w:szCs w:val="20"/>
              </w:rPr>
            </w:pPr>
            <w:r w:rsidRPr="009B6ADB">
              <w:rPr>
                <w:rFonts w:ascii="Verdana" w:hAnsi="Verdana"/>
                <w:sz w:val="20"/>
                <w:szCs w:val="20"/>
              </w:rPr>
              <w:t>656</w:t>
            </w:r>
          </w:p>
        </w:tc>
        <w:tc>
          <w:tcPr>
            <w:tcW w:w="1530" w:type="dxa"/>
          </w:tcPr>
          <w:p w:rsidR="007A46AC" w:rsidRPr="00C14D4C" w:rsidRDefault="007A46AC" w:rsidP="00041249">
            <w:pPr>
              <w:jc w:val="center"/>
              <w:rPr>
                <w:rFonts w:ascii="Verdana" w:hAnsi="Verdana"/>
                <w:sz w:val="20"/>
                <w:szCs w:val="20"/>
              </w:rPr>
            </w:pPr>
            <w:r w:rsidRPr="0093719F">
              <w:rPr>
                <w:rFonts w:ascii="Verdana" w:hAnsi="Verdana"/>
                <w:sz w:val="20"/>
                <w:szCs w:val="20"/>
              </w:rPr>
              <w:t>66.06%</w:t>
            </w:r>
          </w:p>
        </w:tc>
        <w:tc>
          <w:tcPr>
            <w:tcW w:w="1710" w:type="dxa"/>
          </w:tcPr>
          <w:p w:rsidR="007A46AC" w:rsidRPr="00C14D4C" w:rsidRDefault="007A46AC" w:rsidP="00041249">
            <w:pPr>
              <w:jc w:val="center"/>
              <w:rPr>
                <w:rFonts w:ascii="Verdana" w:hAnsi="Verdana"/>
                <w:sz w:val="20"/>
                <w:szCs w:val="20"/>
              </w:rPr>
            </w:pPr>
            <w:r w:rsidRPr="006D1C42">
              <w:rPr>
                <w:rFonts w:ascii="Verdana" w:hAnsi="Verdana"/>
                <w:sz w:val="20"/>
                <w:szCs w:val="20"/>
              </w:rPr>
              <w:t>52.32%</w:t>
            </w:r>
          </w:p>
        </w:tc>
        <w:tc>
          <w:tcPr>
            <w:tcW w:w="1260" w:type="dxa"/>
          </w:tcPr>
          <w:p w:rsidR="007A46AC" w:rsidRPr="00325C33" w:rsidRDefault="00325C33" w:rsidP="00041249">
            <w:pPr>
              <w:jc w:val="center"/>
              <w:rPr>
                <w:rFonts w:ascii="Verdana" w:hAnsi="Verdana"/>
                <w:sz w:val="20"/>
                <w:szCs w:val="20"/>
                <w:lang w:val="es-ES"/>
              </w:rPr>
            </w:pPr>
            <w:r w:rsidRPr="00325C33">
              <w:rPr>
                <w:rFonts w:ascii="Verdana" w:hAnsi="Verdana"/>
                <w:sz w:val="20"/>
                <w:szCs w:val="20"/>
                <w:lang w:val="es-ES"/>
              </w:rPr>
              <w:t>5.82%</w:t>
            </w:r>
          </w:p>
        </w:tc>
        <w:tc>
          <w:tcPr>
            <w:tcW w:w="1278" w:type="dxa"/>
          </w:tcPr>
          <w:p w:rsidR="007A46AC" w:rsidRPr="002E2C5E" w:rsidRDefault="002E2C5E" w:rsidP="00041249">
            <w:pPr>
              <w:jc w:val="center"/>
              <w:rPr>
                <w:rFonts w:ascii="Verdana" w:hAnsi="Verdana"/>
                <w:sz w:val="20"/>
                <w:szCs w:val="20"/>
                <w:lang w:val="es-ES"/>
              </w:rPr>
            </w:pPr>
            <w:r w:rsidRPr="002E2C5E">
              <w:rPr>
                <w:rFonts w:ascii="Verdana" w:hAnsi="Verdana"/>
                <w:sz w:val="20"/>
                <w:szCs w:val="20"/>
                <w:lang w:val="es-ES"/>
              </w:rPr>
              <w:t>5.99%</w:t>
            </w:r>
          </w:p>
        </w:tc>
      </w:tr>
      <w:tr w:rsidR="007A46AC" w:rsidRPr="00C14D4C" w:rsidTr="00961F6A">
        <w:tc>
          <w:tcPr>
            <w:tcW w:w="2268" w:type="dxa"/>
          </w:tcPr>
          <w:p w:rsidR="007A46AC" w:rsidRPr="00C14D4C" w:rsidRDefault="007A46AC" w:rsidP="00041249">
            <w:pPr>
              <w:rPr>
                <w:rFonts w:ascii="Verdana" w:hAnsi="Verdana"/>
                <w:sz w:val="20"/>
                <w:szCs w:val="20"/>
              </w:rPr>
            </w:pPr>
            <w:r w:rsidRPr="00E87CB5">
              <w:rPr>
                <w:rFonts w:ascii="Verdana" w:hAnsi="Verdana"/>
                <w:sz w:val="20"/>
                <w:szCs w:val="20"/>
              </w:rPr>
              <w:t>QUEST SOFTWARE</w:t>
            </w:r>
          </w:p>
        </w:tc>
        <w:tc>
          <w:tcPr>
            <w:tcW w:w="1530" w:type="dxa"/>
          </w:tcPr>
          <w:p w:rsidR="007A46AC" w:rsidRPr="00C14D4C" w:rsidRDefault="007A46AC" w:rsidP="00041249">
            <w:pPr>
              <w:jc w:val="center"/>
              <w:rPr>
                <w:rFonts w:ascii="Verdana" w:hAnsi="Verdana"/>
                <w:sz w:val="20"/>
                <w:szCs w:val="20"/>
              </w:rPr>
            </w:pPr>
            <w:r w:rsidRPr="009B6ADB">
              <w:rPr>
                <w:rFonts w:ascii="Verdana" w:hAnsi="Verdana"/>
                <w:sz w:val="20"/>
                <w:szCs w:val="20"/>
              </w:rPr>
              <w:t>839</w:t>
            </w:r>
          </w:p>
        </w:tc>
        <w:tc>
          <w:tcPr>
            <w:tcW w:w="1530" w:type="dxa"/>
          </w:tcPr>
          <w:p w:rsidR="007A46AC" w:rsidRPr="00C14D4C" w:rsidRDefault="007A46AC" w:rsidP="00041249">
            <w:pPr>
              <w:jc w:val="center"/>
              <w:rPr>
                <w:rFonts w:ascii="Verdana" w:hAnsi="Verdana"/>
                <w:sz w:val="20"/>
                <w:szCs w:val="20"/>
              </w:rPr>
            </w:pPr>
            <w:r w:rsidRPr="0093719F">
              <w:rPr>
                <w:rFonts w:ascii="Verdana" w:hAnsi="Verdana"/>
                <w:sz w:val="20"/>
                <w:szCs w:val="20"/>
              </w:rPr>
              <w:t>84.16%</w:t>
            </w:r>
          </w:p>
        </w:tc>
        <w:tc>
          <w:tcPr>
            <w:tcW w:w="1710" w:type="dxa"/>
          </w:tcPr>
          <w:p w:rsidR="007A46AC" w:rsidRPr="00C14D4C" w:rsidRDefault="007A46AC" w:rsidP="00041249">
            <w:pPr>
              <w:jc w:val="center"/>
              <w:rPr>
                <w:rFonts w:ascii="Verdana" w:hAnsi="Verdana"/>
                <w:sz w:val="20"/>
                <w:szCs w:val="20"/>
              </w:rPr>
            </w:pPr>
            <w:r w:rsidRPr="006D1C42">
              <w:rPr>
                <w:rFonts w:ascii="Verdana" w:hAnsi="Verdana"/>
                <w:sz w:val="20"/>
                <w:szCs w:val="20"/>
              </w:rPr>
              <w:t>51.31%</w:t>
            </w:r>
          </w:p>
        </w:tc>
        <w:tc>
          <w:tcPr>
            <w:tcW w:w="1260" w:type="dxa"/>
          </w:tcPr>
          <w:p w:rsidR="007A46AC" w:rsidRPr="00325C33" w:rsidRDefault="00325C33" w:rsidP="00041249">
            <w:pPr>
              <w:jc w:val="center"/>
              <w:rPr>
                <w:rFonts w:ascii="Verdana" w:hAnsi="Verdana"/>
                <w:sz w:val="20"/>
                <w:szCs w:val="20"/>
                <w:lang w:val="es-ES"/>
              </w:rPr>
            </w:pPr>
            <w:r w:rsidRPr="00325C33">
              <w:rPr>
                <w:rFonts w:ascii="Verdana" w:hAnsi="Verdana"/>
                <w:sz w:val="20"/>
                <w:szCs w:val="20"/>
                <w:lang w:val="es-ES"/>
              </w:rPr>
              <w:t>11.80%</w:t>
            </w:r>
          </w:p>
        </w:tc>
        <w:tc>
          <w:tcPr>
            <w:tcW w:w="1278" w:type="dxa"/>
          </w:tcPr>
          <w:p w:rsidR="007A46AC" w:rsidRPr="002E2C5E" w:rsidRDefault="002E2C5E" w:rsidP="00041249">
            <w:pPr>
              <w:jc w:val="center"/>
              <w:rPr>
                <w:rFonts w:ascii="Verdana" w:hAnsi="Verdana"/>
                <w:sz w:val="20"/>
                <w:szCs w:val="20"/>
                <w:lang w:val="es-ES"/>
              </w:rPr>
            </w:pPr>
            <w:r w:rsidRPr="002E2C5E">
              <w:rPr>
                <w:rFonts w:ascii="Verdana" w:hAnsi="Verdana"/>
                <w:sz w:val="20"/>
                <w:szCs w:val="20"/>
                <w:lang w:val="es-ES"/>
              </w:rPr>
              <w:t>9.55%</w:t>
            </w:r>
          </w:p>
        </w:tc>
      </w:tr>
      <w:tr w:rsidR="007A46AC" w:rsidRPr="00E87CB5" w:rsidTr="000C277E">
        <w:tc>
          <w:tcPr>
            <w:tcW w:w="2268" w:type="dxa"/>
          </w:tcPr>
          <w:p w:rsidR="007A46AC" w:rsidRPr="00E87CB5" w:rsidRDefault="007A46AC" w:rsidP="00041249">
            <w:pPr>
              <w:rPr>
                <w:rFonts w:ascii="Verdana" w:hAnsi="Verdana"/>
                <w:sz w:val="20"/>
                <w:szCs w:val="20"/>
              </w:rPr>
            </w:pPr>
            <w:r w:rsidRPr="00E87CB5">
              <w:rPr>
                <w:rFonts w:ascii="Verdana" w:hAnsi="Verdana"/>
                <w:sz w:val="20"/>
                <w:szCs w:val="20"/>
              </w:rPr>
              <w:t>PEGASYSTEMS</w:t>
            </w:r>
          </w:p>
        </w:tc>
        <w:tc>
          <w:tcPr>
            <w:tcW w:w="1530" w:type="dxa"/>
          </w:tcPr>
          <w:p w:rsidR="007A46AC" w:rsidRPr="00D16D83" w:rsidRDefault="007A46AC" w:rsidP="00041249">
            <w:pPr>
              <w:jc w:val="center"/>
              <w:rPr>
                <w:rFonts w:ascii="Verdana" w:hAnsi="Verdana"/>
                <w:sz w:val="20"/>
                <w:szCs w:val="20"/>
              </w:rPr>
            </w:pPr>
            <w:r w:rsidRPr="009B6ADB">
              <w:rPr>
                <w:rFonts w:ascii="Verdana" w:hAnsi="Verdana"/>
                <w:sz w:val="20"/>
                <w:szCs w:val="20"/>
              </w:rPr>
              <w:t>172</w:t>
            </w:r>
          </w:p>
        </w:tc>
        <w:tc>
          <w:tcPr>
            <w:tcW w:w="1530" w:type="dxa"/>
          </w:tcPr>
          <w:p w:rsidR="007A46AC" w:rsidRPr="007A46AC" w:rsidRDefault="007A46AC" w:rsidP="00041249">
            <w:pPr>
              <w:jc w:val="center"/>
              <w:rPr>
                <w:rFonts w:ascii="Verdana" w:hAnsi="Verdana"/>
                <w:sz w:val="20"/>
                <w:szCs w:val="20"/>
              </w:rPr>
            </w:pPr>
            <w:r w:rsidRPr="0093719F">
              <w:rPr>
                <w:rFonts w:ascii="Verdana" w:hAnsi="Verdana"/>
                <w:sz w:val="20"/>
                <w:szCs w:val="20"/>
              </w:rPr>
              <w:t>13.14%</w:t>
            </w:r>
          </w:p>
        </w:tc>
        <w:tc>
          <w:tcPr>
            <w:tcW w:w="1710" w:type="dxa"/>
          </w:tcPr>
          <w:p w:rsidR="007A46AC" w:rsidRPr="007A46AC" w:rsidRDefault="007A46AC" w:rsidP="00041249">
            <w:pPr>
              <w:jc w:val="center"/>
              <w:rPr>
                <w:rFonts w:ascii="Verdana" w:hAnsi="Verdana"/>
                <w:sz w:val="20"/>
                <w:szCs w:val="20"/>
              </w:rPr>
            </w:pPr>
            <w:r w:rsidRPr="006D1C42">
              <w:rPr>
                <w:rFonts w:ascii="Verdana" w:hAnsi="Verdana"/>
                <w:sz w:val="20"/>
                <w:szCs w:val="20"/>
              </w:rPr>
              <w:t>51.02%</w:t>
            </w:r>
          </w:p>
        </w:tc>
        <w:tc>
          <w:tcPr>
            <w:tcW w:w="1260" w:type="dxa"/>
          </w:tcPr>
          <w:p w:rsidR="007A46AC" w:rsidRPr="00E87CB5" w:rsidRDefault="00325C33" w:rsidP="00041249">
            <w:pPr>
              <w:jc w:val="center"/>
              <w:rPr>
                <w:rFonts w:ascii="Verdana" w:hAnsi="Verdana"/>
                <w:sz w:val="20"/>
                <w:szCs w:val="20"/>
                <w:lang w:val="es-ES"/>
              </w:rPr>
            </w:pPr>
            <w:r w:rsidRPr="00325C33">
              <w:rPr>
                <w:rFonts w:ascii="Verdana" w:hAnsi="Verdana"/>
                <w:sz w:val="20"/>
                <w:szCs w:val="20"/>
                <w:lang w:val="es-ES"/>
              </w:rPr>
              <w:t>6.96%</w:t>
            </w:r>
          </w:p>
        </w:tc>
        <w:tc>
          <w:tcPr>
            <w:tcW w:w="1278" w:type="dxa"/>
          </w:tcPr>
          <w:p w:rsidR="007A46AC" w:rsidRPr="00E87CB5" w:rsidRDefault="002E2C5E" w:rsidP="00041249">
            <w:pPr>
              <w:jc w:val="center"/>
              <w:rPr>
                <w:rFonts w:ascii="Verdana" w:hAnsi="Verdana"/>
                <w:sz w:val="20"/>
                <w:szCs w:val="20"/>
                <w:lang w:val="es-ES"/>
              </w:rPr>
            </w:pPr>
            <w:r w:rsidRPr="002E2C5E">
              <w:rPr>
                <w:rFonts w:ascii="Verdana" w:hAnsi="Verdana"/>
                <w:sz w:val="20"/>
                <w:szCs w:val="20"/>
                <w:lang w:val="es-ES"/>
              </w:rPr>
              <w:t>-3.01%</w:t>
            </w:r>
          </w:p>
        </w:tc>
      </w:tr>
      <w:tr w:rsidR="007A46AC" w:rsidRPr="00E87CB5" w:rsidTr="00E43C5E">
        <w:tc>
          <w:tcPr>
            <w:tcW w:w="2268" w:type="dxa"/>
          </w:tcPr>
          <w:p w:rsidR="007A46AC" w:rsidRPr="00E87CB5" w:rsidRDefault="007A46AC" w:rsidP="00041249">
            <w:pPr>
              <w:rPr>
                <w:rFonts w:ascii="Verdana" w:hAnsi="Verdana"/>
                <w:sz w:val="20"/>
                <w:szCs w:val="20"/>
              </w:rPr>
            </w:pPr>
            <w:r w:rsidRPr="00E87CB5">
              <w:rPr>
                <w:rFonts w:ascii="Verdana" w:hAnsi="Verdana"/>
                <w:sz w:val="20"/>
                <w:szCs w:val="20"/>
              </w:rPr>
              <w:t>LANTHEUS MEDICAL IMAGING</w:t>
            </w:r>
          </w:p>
        </w:tc>
        <w:tc>
          <w:tcPr>
            <w:tcW w:w="1530" w:type="dxa"/>
          </w:tcPr>
          <w:p w:rsidR="007A46AC" w:rsidRPr="009B6ADB" w:rsidRDefault="007A46AC" w:rsidP="00041249">
            <w:pPr>
              <w:jc w:val="center"/>
              <w:rPr>
                <w:rFonts w:ascii="Verdana" w:hAnsi="Verdana"/>
                <w:sz w:val="20"/>
                <w:szCs w:val="20"/>
              </w:rPr>
            </w:pPr>
            <w:r w:rsidRPr="009B6ADB">
              <w:rPr>
                <w:rFonts w:ascii="Verdana" w:hAnsi="Verdana"/>
                <w:sz w:val="20"/>
                <w:szCs w:val="20"/>
              </w:rPr>
              <w:t>249</w:t>
            </w:r>
          </w:p>
          <w:p w:rsidR="007A46AC" w:rsidRPr="00E87CB5" w:rsidRDefault="007A46AC" w:rsidP="00041249">
            <w:pPr>
              <w:jc w:val="center"/>
              <w:rPr>
                <w:rFonts w:ascii="Verdana" w:hAnsi="Verdana"/>
                <w:sz w:val="20"/>
                <w:szCs w:val="20"/>
                <w:lang w:val="es-ES"/>
              </w:rPr>
            </w:pPr>
          </w:p>
        </w:tc>
        <w:tc>
          <w:tcPr>
            <w:tcW w:w="1530" w:type="dxa"/>
          </w:tcPr>
          <w:p w:rsidR="007A46AC" w:rsidRPr="0093719F" w:rsidRDefault="007A46AC" w:rsidP="00041249">
            <w:pPr>
              <w:jc w:val="center"/>
              <w:rPr>
                <w:rFonts w:ascii="Verdana" w:hAnsi="Verdana"/>
                <w:sz w:val="20"/>
                <w:szCs w:val="20"/>
              </w:rPr>
            </w:pPr>
            <w:r w:rsidRPr="0093719F">
              <w:rPr>
                <w:rFonts w:ascii="Verdana" w:hAnsi="Verdana"/>
                <w:sz w:val="20"/>
                <w:szCs w:val="20"/>
              </w:rPr>
              <w:t>6.32%</w:t>
            </w:r>
          </w:p>
          <w:p w:rsidR="007A46AC" w:rsidRPr="00E87CB5" w:rsidRDefault="007A46AC" w:rsidP="00041249">
            <w:pPr>
              <w:jc w:val="center"/>
              <w:rPr>
                <w:rFonts w:ascii="Verdana" w:hAnsi="Verdana"/>
                <w:sz w:val="20"/>
                <w:szCs w:val="20"/>
                <w:lang w:val="es-ES"/>
              </w:rPr>
            </w:pPr>
          </w:p>
        </w:tc>
        <w:tc>
          <w:tcPr>
            <w:tcW w:w="1710" w:type="dxa"/>
          </w:tcPr>
          <w:p w:rsidR="007A46AC" w:rsidRPr="006D1C42" w:rsidRDefault="007A46AC" w:rsidP="00041249">
            <w:pPr>
              <w:jc w:val="center"/>
              <w:rPr>
                <w:rFonts w:ascii="Verdana" w:hAnsi="Verdana"/>
                <w:sz w:val="20"/>
                <w:szCs w:val="20"/>
              </w:rPr>
            </w:pPr>
            <w:r w:rsidRPr="006D1C42">
              <w:rPr>
                <w:rFonts w:ascii="Verdana" w:hAnsi="Verdana"/>
                <w:sz w:val="20"/>
                <w:szCs w:val="20"/>
              </w:rPr>
              <w:t>50.13%</w:t>
            </w:r>
          </w:p>
          <w:p w:rsidR="007A46AC" w:rsidRPr="00E87CB5" w:rsidRDefault="007A46AC" w:rsidP="00041249">
            <w:pPr>
              <w:jc w:val="center"/>
              <w:rPr>
                <w:rFonts w:ascii="Verdana" w:hAnsi="Verdana"/>
                <w:sz w:val="20"/>
                <w:szCs w:val="20"/>
                <w:lang w:val="es-ES"/>
              </w:rPr>
            </w:pPr>
          </w:p>
        </w:tc>
        <w:tc>
          <w:tcPr>
            <w:tcW w:w="1260" w:type="dxa"/>
          </w:tcPr>
          <w:p w:rsidR="007A46AC" w:rsidRPr="00E87CB5" w:rsidRDefault="00325C33" w:rsidP="00041249">
            <w:pPr>
              <w:jc w:val="center"/>
              <w:rPr>
                <w:rFonts w:ascii="Verdana" w:hAnsi="Verdana"/>
                <w:sz w:val="20"/>
                <w:szCs w:val="20"/>
                <w:lang w:val="es-ES"/>
              </w:rPr>
            </w:pPr>
            <w:r w:rsidRPr="00325C33">
              <w:rPr>
                <w:rFonts w:ascii="Verdana" w:hAnsi="Verdana"/>
                <w:sz w:val="20"/>
                <w:szCs w:val="20"/>
                <w:lang w:val="es-ES"/>
              </w:rPr>
              <w:t>-19.19%</w:t>
            </w:r>
          </w:p>
        </w:tc>
        <w:tc>
          <w:tcPr>
            <w:tcW w:w="1278" w:type="dxa"/>
          </w:tcPr>
          <w:p w:rsidR="007A46AC" w:rsidRPr="00E87CB5" w:rsidRDefault="002E2C5E" w:rsidP="00041249">
            <w:pPr>
              <w:jc w:val="center"/>
              <w:rPr>
                <w:rFonts w:ascii="Verdana" w:hAnsi="Verdana"/>
                <w:sz w:val="20"/>
                <w:szCs w:val="20"/>
                <w:lang w:val="es-ES"/>
              </w:rPr>
            </w:pPr>
            <w:r w:rsidRPr="002E2C5E">
              <w:rPr>
                <w:rFonts w:ascii="Verdana" w:hAnsi="Verdana"/>
                <w:sz w:val="20"/>
                <w:szCs w:val="20"/>
                <w:lang w:val="es-ES"/>
              </w:rPr>
              <w:t>3.24%</w:t>
            </w:r>
          </w:p>
        </w:tc>
      </w:tr>
    </w:tbl>
    <w:p w:rsidR="00C14D4C" w:rsidRPr="00E87CB5" w:rsidRDefault="00C14D4C" w:rsidP="00041249">
      <w:pPr>
        <w:rPr>
          <w:rFonts w:ascii="Verdana" w:hAnsi="Verdana"/>
          <w:sz w:val="24"/>
          <w:szCs w:val="24"/>
          <w:lang w:val="es-ES"/>
        </w:rPr>
      </w:pPr>
    </w:p>
    <w:p w:rsidR="0034773C" w:rsidRDefault="008F0E6C" w:rsidP="00041249">
      <w:pPr>
        <w:rPr>
          <w:rFonts w:ascii="Verdana" w:hAnsi="Verdana"/>
          <w:sz w:val="24"/>
          <w:szCs w:val="24"/>
        </w:rPr>
      </w:pPr>
      <w:r w:rsidRPr="008F0E6C">
        <w:rPr>
          <w:rFonts w:ascii="Verdana" w:hAnsi="Verdana"/>
          <w:sz w:val="24"/>
          <w:szCs w:val="24"/>
        </w:rPr>
        <w:t xml:space="preserve">Why are these companies at risk? </w:t>
      </w:r>
      <w:r>
        <w:rPr>
          <w:rFonts w:ascii="Verdana" w:hAnsi="Verdana"/>
          <w:sz w:val="24"/>
          <w:szCs w:val="24"/>
        </w:rPr>
        <w:t xml:space="preserve"> Just look at the percentages: high percentage</w:t>
      </w:r>
      <w:r w:rsidR="00C04C25">
        <w:rPr>
          <w:rFonts w:ascii="Verdana" w:hAnsi="Verdana"/>
          <w:sz w:val="24"/>
          <w:szCs w:val="24"/>
        </w:rPr>
        <w:t>s</w:t>
      </w:r>
      <w:r>
        <w:rPr>
          <w:rFonts w:ascii="Verdana" w:hAnsi="Verdana"/>
          <w:sz w:val="24"/>
          <w:szCs w:val="24"/>
        </w:rPr>
        <w:t xml:space="preserve"> of invested assets in intangibles, low </w:t>
      </w:r>
      <w:r w:rsidR="00C04C25">
        <w:rPr>
          <w:rFonts w:ascii="Verdana" w:hAnsi="Verdana"/>
          <w:sz w:val="24"/>
          <w:szCs w:val="24"/>
        </w:rPr>
        <w:t xml:space="preserve">or negative </w:t>
      </w:r>
      <w:r>
        <w:rPr>
          <w:rFonts w:ascii="Verdana" w:hAnsi="Verdana"/>
          <w:sz w:val="24"/>
          <w:szCs w:val="24"/>
        </w:rPr>
        <w:t>tangible stockholders equity, and anemic ROEs.  Clearly, assets are not performing and which ones might those be?  You got it: the ones you can’t see (or audit)…the intangibles!</w:t>
      </w:r>
    </w:p>
    <w:p w:rsidR="00680423" w:rsidRDefault="00680423" w:rsidP="00041249">
      <w:pPr>
        <w:rPr>
          <w:rFonts w:ascii="Verdana" w:hAnsi="Verdana"/>
          <w:sz w:val="24"/>
          <w:szCs w:val="24"/>
        </w:rPr>
      </w:pPr>
    </w:p>
    <w:p w:rsidR="004B780F" w:rsidRDefault="00680423" w:rsidP="00041249">
      <w:pPr>
        <w:rPr>
          <w:rFonts w:ascii="Verdana" w:hAnsi="Verdana"/>
          <w:sz w:val="24"/>
          <w:szCs w:val="24"/>
        </w:rPr>
      </w:pPr>
      <w:r>
        <w:rPr>
          <w:rFonts w:ascii="Verdana" w:hAnsi="Verdana"/>
          <w:sz w:val="24"/>
          <w:szCs w:val="24"/>
        </w:rPr>
        <w:t>So ther</w:t>
      </w:r>
      <w:r w:rsidR="00C04C25">
        <w:rPr>
          <w:rFonts w:ascii="Verdana" w:hAnsi="Verdana"/>
          <w:sz w:val="24"/>
          <w:szCs w:val="24"/>
        </w:rPr>
        <w:t>e you have it</w:t>
      </w:r>
      <w:r w:rsidR="001A6B52">
        <w:rPr>
          <w:rFonts w:ascii="Verdana" w:hAnsi="Verdana"/>
          <w:sz w:val="24"/>
          <w:szCs w:val="24"/>
        </w:rPr>
        <w:t>,</w:t>
      </w:r>
      <w:r w:rsidR="00C04C25">
        <w:rPr>
          <w:rFonts w:ascii="Verdana" w:hAnsi="Verdana"/>
          <w:sz w:val="24"/>
          <w:szCs w:val="24"/>
        </w:rPr>
        <w:t xml:space="preserve"> Deloitte</w:t>
      </w:r>
      <w:r w:rsidR="001A6B52">
        <w:rPr>
          <w:rFonts w:ascii="Verdana" w:hAnsi="Verdana"/>
          <w:sz w:val="24"/>
          <w:szCs w:val="24"/>
        </w:rPr>
        <w:t xml:space="preserve">.  We have identified firms with underperforming assets which more likely than not have incurred impairment losses.  </w:t>
      </w:r>
      <w:r w:rsidR="00136C4E">
        <w:rPr>
          <w:rFonts w:ascii="Verdana" w:hAnsi="Verdana"/>
          <w:sz w:val="24"/>
          <w:szCs w:val="24"/>
        </w:rPr>
        <w:t xml:space="preserve">You can now </w:t>
      </w:r>
      <w:r>
        <w:rPr>
          <w:rFonts w:ascii="Verdana" w:hAnsi="Verdana"/>
          <w:sz w:val="24"/>
          <w:szCs w:val="24"/>
        </w:rPr>
        <w:t xml:space="preserve">honor your commitment to the investing public and </w:t>
      </w:r>
      <w:r w:rsidR="00136C4E">
        <w:rPr>
          <w:rFonts w:ascii="Verdana" w:hAnsi="Verdana"/>
          <w:sz w:val="24"/>
          <w:szCs w:val="24"/>
        </w:rPr>
        <w:t xml:space="preserve">require management to </w:t>
      </w:r>
      <w:r>
        <w:rPr>
          <w:rFonts w:ascii="Verdana" w:hAnsi="Verdana"/>
          <w:sz w:val="24"/>
          <w:szCs w:val="24"/>
        </w:rPr>
        <w:t>purge co</w:t>
      </w:r>
      <w:r w:rsidR="007C4608">
        <w:rPr>
          <w:rFonts w:ascii="Verdana" w:hAnsi="Verdana"/>
          <w:sz w:val="24"/>
          <w:szCs w:val="24"/>
        </w:rPr>
        <w:t xml:space="preserve">rporate balance sheets of </w:t>
      </w:r>
      <w:r>
        <w:rPr>
          <w:rFonts w:ascii="Verdana" w:hAnsi="Verdana"/>
          <w:sz w:val="24"/>
          <w:szCs w:val="24"/>
        </w:rPr>
        <w:t>fake assets.</w:t>
      </w:r>
    </w:p>
    <w:p w:rsidR="00041249" w:rsidRDefault="00041249" w:rsidP="00041249">
      <w:pPr>
        <w:rPr>
          <w:rFonts w:ascii="Verdana" w:hAnsi="Verdana"/>
          <w:sz w:val="24"/>
          <w:szCs w:val="24"/>
        </w:rPr>
      </w:pPr>
    </w:p>
    <w:p w:rsidR="00041249" w:rsidRPr="008F0E6C" w:rsidRDefault="00041249" w:rsidP="00041249">
      <w:pPr>
        <w:rPr>
          <w:rFonts w:ascii="Verdana" w:hAnsi="Verdana"/>
          <w:sz w:val="24"/>
          <w:szCs w:val="24"/>
        </w:rPr>
      </w:pPr>
    </w:p>
    <w:p w:rsidR="00941068" w:rsidRPr="008F0E6C" w:rsidRDefault="00941068" w:rsidP="00041249">
      <w:pPr>
        <w:pBdr>
          <w:bottom w:val="thinThickThinMediumGap" w:sz="18" w:space="0" w:color="auto"/>
        </w:pBdr>
        <w:rPr>
          <w:rFonts w:ascii="Verdana" w:hAnsi="Verdana"/>
          <w:sz w:val="24"/>
          <w:szCs w:val="24"/>
        </w:rPr>
      </w:pPr>
    </w:p>
    <w:p w:rsidR="005679C2" w:rsidRPr="008F0E6C" w:rsidRDefault="005679C2" w:rsidP="005679C2">
      <w:pPr>
        <w:pStyle w:val="BodyText"/>
        <w:spacing w:line="240" w:lineRule="auto"/>
        <w:rPr>
          <w:rFonts w:ascii="Verdana" w:hAnsi="Verdana"/>
        </w:rPr>
      </w:pPr>
    </w:p>
    <w:p w:rsidR="005679C2" w:rsidRPr="00A56122" w:rsidRDefault="005679C2" w:rsidP="005679C2">
      <w:pPr>
        <w:pStyle w:val="BodyText"/>
        <w:spacing w:line="240" w:lineRule="auto"/>
        <w:rPr>
          <w:rFonts w:ascii="Verdana" w:hAnsi="Verdana"/>
          <w:i/>
        </w:rPr>
      </w:pPr>
      <w:r w:rsidRPr="00A56122">
        <w:rPr>
          <w:rFonts w:ascii="Verdana" w:hAnsi="Verdana"/>
          <w:i/>
        </w:rPr>
        <w:t xml:space="preserve">This essay reflects the opinion of the authors and not necessarily the opinions of The </w:t>
      </w:r>
      <w:smartTag w:uri="urn:schemas-microsoft-com:office:smarttags" w:element="PlaceName">
        <w:r w:rsidRPr="00A56122">
          <w:rPr>
            <w:rFonts w:ascii="Verdana" w:hAnsi="Verdana"/>
            <w:i/>
          </w:rPr>
          <w:t>Pennsylvania</w:t>
        </w:r>
      </w:smartTag>
      <w:r w:rsidRPr="00A56122">
        <w:rPr>
          <w:rFonts w:ascii="Verdana" w:hAnsi="Verdana"/>
          <w:i/>
        </w:rPr>
        <w:t xml:space="preserve"> </w:t>
      </w:r>
      <w:smartTag w:uri="urn:schemas-microsoft-com:office:smarttags" w:element="PlaceType">
        <w:r w:rsidRPr="00A56122">
          <w:rPr>
            <w:rFonts w:ascii="Verdana" w:hAnsi="Verdana"/>
            <w:i/>
          </w:rPr>
          <w:t>State</w:t>
        </w:r>
      </w:smartTag>
      <w:r w:rsidRPr="00A56122">
        <w:rPr>
          <w:rFonts w:ascii="Verdana" w:hAnsi="Verdana"/>
          <w:i/>
        </w:rPr>
        <w:t xml:space="preserve"> University, The American College, or Villanova University.</w:t>
      </w:r>
    </w:p>
    <w:p w:rsidR="00F734B3" w:rsidRPr="00A56122" w:rsidRDefault="00F734B3" w:rsidP="00F734B3">
      <w:pPr>
        <w:pBdr>
          <w:bottom w:val="thinThickThinMediumGap" w:sz="18" w:space="0" w:color="auto"/>
        </w:pBdr>
        <w:rPr>
          <w:rFonts w:ascii="Verdana" w:hAnsi="Verdana"/>
        </w:rPr>
      </w:pPr>
    </w:p>
    <w:p w:rsidR="00F734B3" w:rsidRPr="00A56122" w:rsidRDefault="00F734B3" w:rsidP="00F734B3">
      <w:pPr>
        <w:pStyle w:val="BodyTextIndent"/>
        <w:spacing w:after="0"/>
        <w:ind w:left="0"/>
        <w:rPr>
          <w:rFonts w:ascii="Verdana" w:hAnsi="Verdana"/>
          <w:sz w:val="24"/>
          <w:szCs w:val="24"/>
        </w:rPr>
      </w:pPr>
    </w:p>
    <w:p w:rsidR="00F734B3" w:rsidRPr="00A56122" w:rsidRDefault="00F734B3" w:rsidP="00383ECD">
      <w:pPr>
        <w:rPr>
          <w:rFonts w:ascii="Verdana" w:hAnsi="Verdana" w:cs="Arial"/>
          <w:sz w:val="24"/>
          <w:szCs w:val="24"/>
        </w:rPr>
      </w:pPr>
    </w:p>
    <w:sectPr w:rsidR="00F734B3" w:rsidRPr="00A56122"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17C0"/>
    <w:multiLevelType w:val="hybridMultilevel"/>
    <w:tmpl w:val="BE72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902B4"/>
    <w:multiLevelType w:val="hybridMultilevel"/>
    <w:tmpl w:val="A5E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F36CD"/>
    <w:multiLevelType w:val="hybridMultilevel"/>
    <w:tmpl w:val="7150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52F7A"/>
    <w:multiLevelType w:val="hybridMultilevel"/>
    <w:tmpl w:val="3F52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3326F68"/>
    <w:multiLevelType w:val="hybridMultilevel"/>
    <w:tmpl w:val="39E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EF1856"/>
    <w:multiLevelType w:val="hybridMultilevel"/>
    <w:tmpl w:val="C326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33ECB"/>
    <w:multiLevelType w:val="hybridMultilevel"/>
    <w:tmpl w:val="5B5A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E02B77"/>
    <w:multiLevelType w:val="hybridMultilevel"/>
    <w:tmpl w:val="B53A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DC54AE"/>
    <w:multiLevelType w:val="hybridMultilevel"/>
    <w:tmpl w:val="DE72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
  </w:num>
  <w:num w:numId="5">
    <w:abstractNumId w:val="15"/>
  </w:num>
  <w:num w:numId="6">
    <w:abstractNumId w:val="7"/>
  </w:num>
  <w:num w:numId="7">
    <w:abstractNumId w:val="9"/>
  </w:num>
  <w:num w:numId="8">
    <w:abstractNumId w:val="5"/>
  </w:num>
  <w:num w:numId="9">
    <w:abstractNumId w:val="16"/>
  </w:num>
  <w:num w:numId="10">
    <w:abstractNumId w:val="12"/>
  </w:num>
  <w:num w:numId="11">
    <w:abstractNumId w:val="3"/>
  </w:num>
  <w:num w:numId="12">
    <w:abstractNumId w:val="0"/>
  </w:num>
  <w:num w:numId="13">
    <w:abstractNumId w:val="10"/>
  </w:num>
  <w:num w:numId="14">
    <w:abstractNumId w:val="13"/>
  </w:num>
  <w:num w:numId="15">
    <w:abstractNumId w:val="14"/>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27B"/>
    <w:rsid w:val="0000285F"/>
    <w:rsid w:val="00003FE2"/>
    <w:rsid w:val="000078FE"/>
    <w:rsid w:val="0001223C"/>
    <w:rsid w:val="00032D82"/>
    <w:rsid w:val="000374C2"/>
    <w:rsid w:val="00041249"/>
    <w:rsid w:val="00043E38"/>
    <w:rsid w:val="00046753"/>
    <w:rsid w:val="000519FA"/>
    <w:rsid w:val="00056DAE"/>
    <w:rsid w:val="00070FC4"/>
    <w:rsid w:val="00080D90"/>
    <w:rsid w:val="00081916"/>
    <w:rsid w:val="00083C89"/>
    <w:rsid w:val="0008518C"/>
    <w:rsid w:val="00093316"/>
    <w:rsid w:val="000A52AA"/>
    <w:rsid w:val="000A7F6B"/>
    <w:rsid w:val="000C0DAE"/>
    <w:rsid w:val="000C515C"/>
    <w:rsid w:val="000C51FE"/>
    <w:rsid w:val="000D547E"/>
    <w:rsid w:val="000E2E4F"/>
    <w:rsid w:val="000F37E7"/>
    <w:rsid w:val="00101329"/>
    <w:rsid w:val="00133F5D"/>
    <w:rsid w:val="00136C4E"/>
    <w:rsid w:val="00142392"/>
    <w:rsid w:val="001534BA"/>
    <w:rsid w:val="00166500"/>
    <w:rsid w:val="001823C4"/>
    <w:rsid w:val="001912CC"/>
    <w:rsid w:val="001978FB"/>
    <w:rsid w:val="001A0FEB"/>
    <w:rsid w:val="001A1941"/>
    <w:rsid w:val="001A35D6"/>
    <w:rsid w:val="001A441A"/>
    <w:rsid w:val="001A523B"/>
    <w:rsid w:val="001A5685"/>
    <w:rsid w:val="001A63DD"/>
    <w:rsid w:val="001A6B52"/>
    <w:rsid w:val="001B7207"/>
    <w:rsid w:val="001C3948"/>
    <w:rsid w:val="001C5C9F"/>
    <w:rsid w:val="00215FD8"/>
    <w:rsid w:val="002254DA"/>
    <w:rsid w:val="00251D00"/>
    <w:rsid w:val="00257384"/>
    <w:rsid w:val="002713C6"/>
    <w:rsid w:val="00285D9E"/>
    <w:rsid w:val="0029409E"/>
    <w:rsid w:val="002A35CE"/>
    <w:rsid w:val="002B0A9D"/>
    <w:rsid w:val="002B29A5"/>
    <w:rsid w:val="002E2C5E"/>
    <w:rsid w:val="00306561"/>
    <w:rsid w:val="00316C9F"/>
    <w:rsid w:val="003259CE"/>
    <w:rsid w:val="00325C01"/>
    <w:rsid w:val="00325C33"/>
    <w:rsid w:val="003473CE"/>
    <w:rsid w:val="0034773C"/>
    <w:rsid w:val="00383ECD"/>
    <w:rsid w:val="00387AD3"/>
    <w:rsid w:val="0039366C"/>
    <w:rsid w:val="00394F33"/>
    <w:rsid w:val="003A627B"/>
    <w:rsid w:val="003C370E"/>
    <w:rsid w:val="003E24C7"/>
    <w:rsid w:val="003F6FEC"/>
    <w:rsid w:val="00410CA9"/>
    <w:rsid w:val="00433403"/>
    <w:rsid w:val="00441449"/>
    <w:rsid w:val="004534FA"/>
    <w:rsid w:val="00465E6E"/>
    <w:rsid w:val="00465E73"/>
    <w:rsid w:val="00471A13"/>
    <w:rsid w:val="00484D57"/>
    <w:rsid w:val="004960CF"/>
    <w:rsid w:val="00496266"/>
    <w:rsid w:val="004B6B32"/>
    <w:rsid w:val="004B780F"/>
    <w:rsid w:val="004C05A7"/>
    <w:rsid w:val="004D6BFC"/>
    <w:rsid w:val="004E16D3"/>
    <w:rsid w:val="004E2734"/>
    <w:rsid w:val="004E5A35"/>
    <w:rsid w:val="004E7B9C"/>
    <w:rsid w:val="004F71FD"/>
    <w:rsid w:val="0050716A"/>
    <w:rsid w:val="00534C76"/>
    <w:rsid w:val="00536804"/>
    <w:rsid w:val="0054490C"/>
    <w:rsid w:val="00547265"/>
    <w:rsid w:val="0055376D"/>
    <w:rsid w:val="0056118E"/>
    <w:rsid w:val="00564E1A"/>
    <w:rsid w:val="005679C2"/>
    <w:rsid w:val="00576F34"/>
    <w:rsid w:val="005865D0"/>
    <w:rsid w:val="00586757"/>
    <w:rsid w:val="005877D3"/>
    <w:rsid w:val="005A5F04"/>
    <w:rsid w:val="005B7BA1"/>
    <w:rsid w:val="005C05E4"/>
    <w:rsid w:val="005C7FC3"/>
    <w:rsid w:val="005D5C01"/>
    <w:rsid w:val="005E7ED6"/>
    <w:rsid w:val="00602CE9"/>
    <w:rsid w:val="00611B75"/>
    <w:rsid w:val="006174D4"/>
    <w:rsid w:val="00626CA8"/>
    <w:rsid w:val="00642B98"/>
    <w:rsid w:val="00654AEE"/>
    <w:rsid w:val="00680423"/>
    <w:rsid w:val="00681C81"/>
    <w:rsid w:val="006A65BE"/>
    <w:rsid w:val="006A7CF1"/>
    <w:rsid w:val="006A7E56"/>
    <w:rsid w:val="006B5167"/>
    <w:rsid w:val="006D1C42"/>
    <w:rsid w:val="00701811"/>
    <w:rsid w:val="00701F7E"/>
    <w:rsid w:val="007069CC"/>
    <w:rsid w:val="00714F76"/>
    <w:rsid w:val="00721587"/>
    <w:rsid w:val="00727419"/>
    <w:rsid w:val="0072762D"/>
    <w:rsid w:val="007310E9"/>
    <w:rsid w:val="00741CC4"/>
    <w:rsid w:val="0075714F"/>
    <w:rsid w:val="00762F72"/>
    <w:rsid w:val="007720CA"/>
    <w:rsid w:val="007812EF"/>
    <w:rsid w:val="007935E9"/>
    <w:rsid w:val="00795EDC"/>
    <w:rsid w:val="007A3645"/>
    <w:rsid w:val="007A46AC"/>
    <w:rsid w:val="007A54C7"/>
    <w:rsid w:val="007B54A0"/>
    <w:rsid w:val="007C4608"/>
    <w:rsid w:val="007D30EB"/>
    <w:rsid w:val="007D3A49"/>
    <w:rsid w:val="007E274D"/>
    <w:rsid w:val="007F6AA6"/>
    <w:rsid w:val="00800741"/>
    <w:rsid w:val="00802A3F"/>
    <w:rsid w:val="00821DC1"/>
    <w:rsid w:val="008244C3"/>
    <w:rsid w:val="00825D4D"/>
    <w:rsid w:val="00830A0B"/>
    <w:rsid w:val="00834103"/>
    <w:rsid w:val="00843D76"/>
    <w:rsid w:val="00847F54"/>
    <w:rsid w:val="00874083"/>
    <w:rsid w:val="008773C8"/>
    <w:rsid w:val="00885921"/>
    <w:rsid w:val="0089704D"/>
    <w:rsid w:val="008C08AF"/>
    <w:rsid w:val="008C3C2E"/>
    <w:rsid w:val="008C3DA5"/>
    <w:rsid w:val="008C4A70"/>
    <w:rsid w:val="008D2071"/>
    <w:rsid w:val="008E5381"/>
    <w:rsid w:val="008F0E6C"/>
    <w:rsid w:val="00917AE5"/>
    <w:rsid w:val="009306DB"/>
    <w:rsid w:val="0093719F"/>
    <w:rsid w:val="00937477"/>
    <w:rsid w:val="00941068"/>
    <w:rsid w:val="00952126"/>
    <w:rsid w:val="009552D6"/>
    <w:rsid w:val="00974768"/>
    <w:rsid w:val="009A0991"/>
    <w:rsid w:val="009A26FD"/>
    <w:rsid w:val="009A403E"/>
    <w:rsid w:val="009B6ADB"/>
    <w:rsid w:val="009E096C"/>
    <w:rsid w:val="009F4FF8"/>
    <w:rsid w:val="00A0057D"/>
    <w:rsid w:val="00A02E34"/>
    <w:rsid w:val="00A04225"/>
    <w:rsid w:val="00A1121C"/>
    <w:rsid w:val="00A11437"/>
    <w:rsid w:val="00A12E6F"/>
    <w:rsid w:val="00A2604A"/>
    <w:rsid w:val="00A3579D"/>
    <w:rsid w:val="00A501CA"/>
    <w:rsid w:val="00A56122"/>
    <w:rsid w:val="00A623DC"/>
    <w:rsid w:val="00A725CB"/>
    <w:rsid w:val="00A848B8"/>
    <w:rsid w:val="00A93C17"/>
    <w:rsid w:val="00AB5DEF"/>
    <w:rsid w:val="00AC081E"/>
    <w:rsid w:val="00AE44C0"/>
    <w:rsid w:val="00AE5150"/>
    <w:rsid w:val="00B01A09"/>
    <w:rsid w:val="00B020F8"/>
    <w:rsid w:val="00B06241"/>
    <w:rsid w:val="00B20912"/>
    <w:rsid w:val="00B212FE"/>
    <w:rsid w:val="00B22B1B"/>
    <w:rsid w:val="00B230C6"/>
    <w:rsid w:val="00B3143C"/>
    <w:rsid w:val="00B33841"/>
    <w:rsid w:val="00B47CEE"/>
    <w:rsid w:val="00B54E7A"/>
    <w:rsid w:val="00B65B08"/>
    <w:rsid w:val="00B663AB"/>
    <w:rsid w:val="00B7722F"/>
    <w:rsid w:val="00B91C46"/>
    <w:rsid w:val="00B93593"/>
    <w:rsid w:val="00BA32AB"/>
    <w:rsid w:val="00BB6235"/>
    <w:rsid w:val="00BC1DB8"/>
    <w:rsid w:val="00BD1C30"/>
    <w:rsid w:val="00BD4859"/>
    <w:rsid w:val="00BE5BC9"/>
    <w:rsid w:val="00BF4CC9"/>
    <w:rsid w:val="00BF5636"/>
    <w:rsid w:val="00BF663F"/>
    <w:rsid w:val="00C02A18"/>
    <w:rsid w:val="00C0326A"/>
    <w:rsid w:val="00C04A39"/>
    <w:rsid w:val="00C04C25"/>
    <w:rsid w:val="00C06C9A"/>
    <w:rsid w:val="00C14B68"/>
    <w:rsid w:val="00C14D4C"/>
    <w:rsid w:val="00C17801"/>
    <w:rsid w:val="00C17B64"/>
    <w:rsid w:val="00C25606"/>
    <w:rsid w:val="00C40DDB"/>
    <w:rsid w:val="00C5207C"/>
    <w:rsid w:val="00C57186"/>
    <w:rsid w:val="00C7386E"/>
    <w:rsid w:val="00C74D64"/>
    <w:rsid w:val="00C83508"/>
    <w:rsid w:val="00C86325"/>
    <w:rsid w:val="00C878FF"/>
    <w:rsid w:val="00CA4259"/>
    <w:rsid w:val="00CB7FD0"/>
    <w:rsid w:val="00CD05F7"/>
    <w:rsid w:val="00CD0E7F"/>
    <w:rsid w:val="00CF567E"/>
    <w:rsid w:val="00D005BC"/>
    <w:rsid w:val="00D04C30"/>
    <w:rsid w:val="00D10237"/>
    <w:rsid w:val="00D15B07"/>
    <w:rsid w:val="00D16D83"/>
    <w:rsid w:val="00D54EF4"/>
    <w:rsid w:val="00D552C9"/>
    <w:rsid w:val="00D7299A"/>
    <w:rsid w:val="00D96CB6"/>
    <w:rsid w:val="00DC497F"/>
    <w:rsid w:val="00DC4B05"/>
    <w:rsid w:val="00DC6A24"/>
    <w:rsid w:val="00DD0C39"/>
    <w:rsid w:val="00DE6D0F"/>
    <w:rsid w:val="00DF0BCE"/>
    <w:rsid w:val="00E0278C"/>
    <w:rsid w:val="00E0530E"/>
    <w:rsid w:val="00E06FF5"/>
    <w:rsid w:val="00E1403D"/>
    <w:rsid w:val="00E318EE"/>
    <w:rsid w:val="00E656F7"/>
    <w:rsid w:val="00E6651F"/>
    <w:rsid w:val="00E81155"/>
    <w:rsid w:val="00E87CB5"/>
    <w:rsid w:val="00EA49F8"/>
    <w:rsid w:val="00EA59CE"/>
    <w:rsid w:val="00EA73DD"/>
    <w:rsid w:val="00EB2BBA"/>
    <w:rsid w:val="00ED3830"/>
    <w:rsid w:val="00ED4CA7"/>
    <w:rsid w:val="00ED5DE9"/>
    <w:rsid w:val="00EE6A29"/>
    <w:rsid w:val="00EF3CB2"/>
    <w:rsid w:val="00F0140C"/>
    <w:rsid w:val="00F37BB7"/>
    <w:rsid w:val="00F460F1"/>
    <w:rsid w:val="00F7237C"/>
    <w:rsid w:val="00F734B3"/>
    <w:rsid w:val="00F8568F"/>
    <w:rsid w:val="00F95297"/>
    <w:rsid w:val="00FA305E"/>
    <w:rsid w:val="00FB06EB"/>
    <w:rsid w:val="00FC520E"/>
    <w:rsid w:val="00FC5D0E"/>
    <w:rsid w:val="00FC7D59"/>
    <w:rsid w:val="00FD361F"/>
    <w:rsid w:val="00FD5BAE"/>
    <w:rsid w:val="00FD5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EA5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964652701">
      <w:bodyDiv w:val="1"/>
      <w:marLeft w:val="0"/>
      <w:marRight w:val="0"/>
      <w:marTop w:val="0"/>
      <w:marBottom w:val="0"/>
      <w:divBdr>
        <w:top w:val="none" w:sz="0" w:space="0" w:color="auto"/>
        <w:left w:val="none" w:sz="0" w:space="0" w:color="auto"/>
        <w:bottom w:val="none" w:sz="0" w:space="0" w:color="auto"/>
        <w:right w:val="none" w:sz="0" w:space="0" w:color="auto"/>
      </w:divBdr>
    </w:div>
    <w:div w:id="1554197032">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2011/10/17/us-deloitte-pcaob-idUSTRE79G6EQ20111017" TargetMode="External"/><Relationship Id="rId13" Type="http://schemas.openxmlformats.org/officeDocument/2006/relationships/hyperlink" Target="http://blogs.smeal.psu.edu/grumpyoldaccountants/archives/315" TargetMode="External"/><Relationship Id="rId3" Type="http://schemas.openxmlformats.org/officeDocument/2006/relationships/settings" Target="settings.xml"/><Relationship Id="rId7" Type="http://schemas.openxmlformats.org/officeDocument/2006/relationships/hyperlink" Target="http://www.businessweek.com/news/2011-11-11/financial-scandal-aficionados-never-had-it-better-jonathan-weil.html" TargetMode="External"/><Relationship Id="rId12" Type="http://schemas.openxmlformats.org/officeDocument/2006/relationships/hyperlink" Target="http://blogs.smeal.psu.edu/grumpyoldaccountants/archives/8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mexecutive.com/news/MF_Global_PwC_Jon_Corzine_commingled_funds_sovereign_risk_CFTC-224782-1.html" TargetMode="External"/><Relationship Id="rId11" Type="http://schemas.openxmlformats.org/officeDocument/2006/relationships/hyperlink" Target="http://pcaobus.org/News/Releases/Pages/10172011_DeloitteReportStatement.aspx" TargetMode="External"/><Relationship Id="rId5" Type="http://schemas.openxmlformats.org/officeDocument/2006/relationships/hyperlink" Target="http://www.sec.gov/news/speech/spch518.htm" TargetMode="External"/><Relationship Id="rId15" Type="http://schemas.openxmlformats.org/officeDocument/2006/relationships/fontTable" Target="fontTable.xml"/><Relationship Id="rId10" Type="http://schemas.openxmlformats.org/officeDocument/2006/relationships/hyperlink" Target="http://blogs.smeal.psu.edu/grumpyoldaccountants/archives/332" TargetMode="External"/><Relationship Id="rId4" Type="http://schemas.openxmlformats.org/officeDocument/2006/relationships/webSettings" Target="webSettings.xml"/><Relationship Id="rId9" Type="http://schemas.openxmlformats.org/officeDocument/2006/relationships/hyperlink" Target="http://blogs.smeal.psu.edu/grumpyoldaccountants/archives/342" TargetMode="External"/><Relationship Id="rId14" Type="http://schemas.openxmlformats.org/officeDocument/2006/relationships/hyperlink" Target="http://www.buffettsecrets.com/return-on-equ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9</cp:revision>
  <cp:lastPrinted>2011-08-13T14:23:00Z</cp:lastPrinted>
  <dcterms:created xsi:type="dcterms:W3CDTF">2011-11-18T17:15:00Z</dcterms:created>
  <dcterms:modified xsi:type="dcterms:W3CDTF">2011-11-18T17:58:00Z</dcterms:modified>
</cp:coreProperties>
</file>