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3B6939" w:rsidP="00E81155">
      <w:pPr>
        <w:rPr>
          <w:rFonts w:ascii="Arial" w:hAnsi="Arial" w:cs="Arial"/>
          <w:b/>
          <w:sz w:val="28"/>
          <w:szCs w:val="28"/>
        </w:rPr>
      </w:pPr>
      <w:r>
        <w:rPr>
          <w:rFonts w:ascii="Arial" w:hAnsi="Arial" w:cs="Arial"/>
          <w:b/>
          <w:sz w:val="28"/>
          <w:szCs w:val="28"/>
        </w:rPr>
        <w:t>ENRON</w:t>
      </w:r>
      <w:r w:rsidR="00CB7C9F">
        <w:rPr>
          <w:rFonts w:ascii="Arial" w:hAnsi="Arial" w:cs="Arial"/>
          <w:b/>
          <w:sz w:val="28"/>
          <w:szCs w:val="28"/>
        </w:rPr>
        <w:t>’S</w:t>
      </w:r>
      <w:r>
        <w:rPr>
          <w:rFonts w:ascii="Arial" w:hAnsi="Arial" w:cs="Arial"/>
          <w:b/>
          <w:sz w:val="28"/>
          <w:szCs w:val="28"/>
        </w:rPr>
        <w:t xml:space="preserve"> TEN</w:t>
      </w:r>
      <w:r w:rsidR="00CB7C9F">
        <w:rPr>
          <w:rFonts w:ascii="Arial" w:hAnsi="Arial" w:cs="Arial"/>
          <w:b/>
          <w:sz w:val="28"/>
          <w:szCs w:val="28"/>
        </w:rPr>
        <w:t>TH</w:t>
      </w:r>
      <w:r>
        <w:rPr>
          <w:rFonts w:ascii="Arial" w:hAnsi="Arial" w:cs="Arial"/>
          <w:b/>
          <w:sz w:val="28"/>
          <w:szCs w:val="28"/>
        </w:rPr>
        <w:t xml:space="preserve"> ANNIVERSARY: THE C</w:t>
      </w:r>
      <w:r w:rsidR="00980419">
        <w:rPr>
          <w:rFonts w:ascii="Arial" w:hAnsi="Arial" w:cs="Arial"/>
          <w:b/>
          <w:sz w:val="28"/>
          <w:szCs w:val="28"/>
        </w:rPr>
        <w:t>RIME</w:t>
      </w:r>
      <w:r w:rsidR="007716C8">
        <w:rPr>
          <w:rFonts w:ascii="Arial" w:hAnsi="Arial" w:cs="Arial"/>
          <w:b/>
          <w:sz w:val="28"/>
          <w:szCs w:val="28"/>
        </w:rPr>
        <w:t>S</w:t>
      </w:r>
    </w:p>
    <w:p w:rsidR="00120871" w:rsidRDefault="00120871" w:rsidP="00E81155">
      <w:pPr>
        <w:rPr>
          <w:rFonts w:ascii="Arial" w:hAnsi="Arial" w:cs="Arial"/>
          <w:b/>
          <w:i/>
          <w:sz w:val="24"/>
          <w:szCs w:val="24"/>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8D35F7">
        <w:rPr>
          <w:rFonts w:ascii="Arial" w:hAnsi="Arial" w:cs="Arial"/>
          <w:b/>
          <w:i/>
          <w:sz w:val="24"/>
          <w:szCs w:val="24"/>
        </w:rPr>
        <w:t>November 2011</w:t>
      </w:r>
    </w:p>
    <w:p w:rsidR="00E81155" w:rsidRPr="00CF5BAB" w:rsidRDefault="00E81155" w:rsidP="00E81155">
      <w:pPr>
        <w:rPr>
          <w:rFonts w:ascii="Verdana" w:hAnsi="Verdana" w:cs="Arial"/>
          <w:sz w:val="24"/>
          <w:szCs w:val="24"/>
        </w:rPr>
      </w:pPr>
    </w:p>
    <w:p w:rsidR="00BF4CC9" w:rsidRDefault="00F34F2C" w:rsidP="00CF5BAB">
      <w:pPr>
        <w:rPr>
          <w:rFonts w:ascii="Verdana" w:hAnsi="Verdana" w:cs="Arial"/>
          <w:sz w:val="24"/>
          <w:szCs w:val="24"/>
        </w:rPr>
      </w:pPr>
      <w:r>
        <w:rPr>
          <w:rFonts w:ascii="Verdana" w:hAnsi="Verdana" w:cs="Arial"/>
          <w:sz w:val="24"/>
          <w:szCs w:val="24"/>
        </w:rPr>
        <w:t>Many of u</w:t>
      </w:r>
      <w:r w:rsidR="00CA5C57">
        <w:rPr>
          <w:rFonts w:ascii="Verdana" w:hAnsi="Verdana" w:cs="Arial"/>
          <w:sz w:val="24"/>
          <w:szCs w:val="24"/>
        </w:rPr>
        <w:t xml:space="preserve">s </w:t>
      </w:r>
      <w:r>
        <w:rPr>
          <w:rFonts w:ascii="Verdana" w:hAnsi="Verdana" w:cs="Arial"/>
          <w:sz w:val="24"/>
          <w:szCs w:val="24"/>
        </w:rPr>
        <w:t xml:space="preserve">if asked to recall the </w:t>
      </w:r>
      <w:r w:rsidR="008D35F7">
        <w:rPr>
          <w:rFonts w:ascii="Verdana" w:hAnsi="Verdana" w:cs="Arial"/>
          <w:sz w:val="24"/>
          <w:szCs w:val="24"/>
        </w:rPr>
        <w:t>details of</w:t>
      </w:r>
      <w:r w:rsidR="00CA5C57">
        <w:rPr>
          <w:rFonts w:ascii="Verdana" w:hAnsi="Verdana" w:cs="Arial"/>
          <w:sz w:val="24"/>
          <w:szCs w:val="24"/>
        </w:rPr>
        <w:t xml:space="preserve"> </w:t>
      </w:r>
      <w:r>
        <w:rPr>
          <w:rFonts w:ascii="Verdana" w:hAnsi="Verdana" w:cs="Arial"/>
          <w:sz w:val="24"/>
          <w:szCs w:val="24"/>
        </w:rPr>
        <w:t xml:space="preserve">a past crime or injustice would be </w:t>
      </w:r>
      <w:r w:rsidR="00CA5C57">
        <w:rPr>
          <w:rFonts w:ascii="Verdana" w:hAnsi="Verdana" w:cs="Arial"/>
          <w:sz w:val="24"/>
          <w:szCs w:val="24"/>
        </w:rPr>
        <w:t>hard pressed</w:t>
      </w:r>
      <w:r>
        <w:rPr>
          <w:rFonts w:ascii="Verdana" w:hAnsi="Verdana" w:cs="Arial"/>
          <w:sz w:val="24"/>
          <w:szCs w:val="24"/>
        </w:rPr>
        <w:t xml:space="preserve"> to do so.  </w:t>
      </w:r>
      <w:r w:rsidR="00CA5C57">
        <w:rPr>
          <w:rFonts w:ascii="Verdana" w:hAnsi="Verdana" w:cs="Arial"/>
          <w:sz w:val="24"/>
          <w:szCs w:val="24"/>
        </w:rPr>
        <w:t>Similarly, today’s young accountants all have heard about Enron as example of financial reporting failure.  However, as the years pass, the details of this accounting crime also have faded.  The tenth anniversary is a time for remembrance.</w:t>
      </w:r>
      <w:r w:rsidR="00CA5C57">
        <w:rPr>
          <w:rFonts w:ascii="Verdana" w:hAnsi="Verdana" w:cs="Arial"/>
          <w:sz w:val="24"/>
          <w:szCs w:val="24"/>
        </w:rPr>
        <w:br/>
      </w:r>
    </w:p>
    <w:p w:rsidR="00E85FC4" w:rsidRDefault="00E85FC4" w:rsidP="00CF5BAB">
      <w:pPr>
        <w:rPr>
          <w:rFonts w:ascii="Verdana" w:hAnsi="Verdana" w:cs="Arial"/>
          <w:sz w:val="24"/>
          <w:szCs w:val="24"/>
        </w:rPr>
      </w:pPr>
      <w:r>
        <w:rPr>
          <w:rFonts w:ascii="Verdana" w:hAnsi="Verdana" w:cs="Arial"/>
          <w:sz w:val="24"/>
          <w:szCs w:val="24"/>
        </w:rPr>
        <w:t xml:space="preserve">On November 8, 2001 </w:t>
      </w:r>
      <w:hyperlink r:id="rId5" w:history="1">
        <w:r w:rsidRPr="00E85FC4">
          <w:rPr>
            <w:rStyle w:val="Hyperlink"/>
            <w:rFonts w:ascii="Verdana" w:hAnsi="Verdana" w:cs="Arial"/>
            <w:sz w:val="24"/>
            <w:szCs w:val="24"/>
          </w:rPr>
          <w:t>Enron filed form 8-K</w:t>
        </w:r>
      </w:hyperlink>
      <w:r>
        <w:rPr>
          <w:rFonts w:ascii="Verdana" w:hAnsi="Verdana" w:cs="Arial"/>
          <w:sz w:val="24"/>
          <w:szCs w:val="24"/>
        </w:rPr>
        <w:t xml:space="preserve"> to confess its accounting failures to the world.  Even after a decade, we find the document interesting to read.</w:t>
      </w:r>
    </w:p>
    <w:p w:rsidR="00E85FC4" w:rsidRDefault="00E85FC4" w:rsidP="00CF5BAB">
      <w:pPr>
        <w:rPr>
          <w:rFonts w:ascii="Verdana" w:hAnsi="Verdana" w:cs="Arial"/>
          <w:sz w:val="24"/>
          <w:szCs w:val="24"/>
        </w:rPr>
      </w:pPr>
    </w:p>
    <w:p w:rsidR="00E85FC4" w:rsidRDefault="00155BB2" w:rsidP="00CF5BAB">
      <w:pPr>
        <w:rPr>
          <w:rFonts w:ascii="Verdana" w:hAnsi="Verdana" w:cs="Arial"/>
          <w:sz w:val="24"/>
          <w:szCs w:val="24"/>
        </w:rPr>
      </w:pPr>
      <w:r>
        <w:rPr>
          <w:rFonts w:ascii="Verdana" w:hAnsi="Verdana" w:cs="Arial"/>
          <w:sz w:val="24"/>
          <w:szCs w:val="24"/>
        </w:rPr>
        <w:t>Enron open</w:t>
      </w:r>
      <w:r w:rsidR="00CA5C57">
        <w:rPr>
          <w:rFonts w:ascii="Verdana" w:hAnsi="Verdana" w:cs="Arial"/>
          <w:sz w:val="24"/>
          <w:szCs w:val="24"/>
        </w:rPr>
        <w:t>ed</w:t>
      </w:r>
      <w:r>
        <w:rPr>
          <w:rFonts w:ascii="Verdana" w:hAnsi="Verdana" w:cs="Arial"/>
          <w:sz w:val="24"/>
          <w:szCs w:val="24"/>
        </w:rPr>
        <w:t xml:space="preserve"> </w:t>
      </w:r>
      <w:r w:rsidR="00606C8D">
        <w:rPr>
          <w:rFonts w:ascii="Verdana" w:hAnsi="Verdana" w:cs="Arial"/>
          <w:sz w:val="24"/>
          <w:szCs w:val="24"/>
        </w:rPr>
        <w:t xml:space="preserve">the Form 8-K </w:t>
      </w:r>
      <w:r>
        <w:rPr>
          <w:rFonts w:ascii="Verdana" w:hAnsi="Verdana" w:cs="Arial"/>
          <w:sz w:val="24"/>
          <w:szCs w:val="24"/>
        </w:rPr>
        <w:t>with a background statement about its special purpose entities (SPEs).  Essentially the company defend</w:t>
      </w:r>
      <w:r w:rsidR="00CA5C57">
        <w:rPr>
          <w:rFonts w:ascii="Verdana" w:hAnsi="Verdana" w:cs="Arial"/>
          <w:sz w:val="24"/>
          <w:szCs w:val="24"/>
        </w:rPr>
        <w:t>ed</w:t>
      </w:r>
      <w:r>
        <w:rPr>
          <w:rFonts w:ascii="Verdana" w:hAnsi="Verdana" w:cs="Arial"/>
          <w:sz w:val="24"/>
          <w:szCs w:val="24"/>
        </w:rPr>
        <w:t xml:space="preserve"> its use of SPEs </w:t>
      </w:r>
      <w:r w:rsidR="00E77A3A">
        <w:rPr>
          <w:rFonts w:ascii="Verdana" w:hAnsi="Verdana" w:cs="Arial"/>
          <w:sz w:val="24"/>
          <w:szCs w:val="24"/>
        </w:rPr>
        <w:t xml:space="preserve">such as LJM1 and LJM2 </w:t>
      </w:r>
      <w:r>
        <w:rPr>
          <w:rFonts w:ascii="Verdana" w:hAnsi="Verdana" w:cs="Arial"/>
          <w:sz w:val="24"/>
          <w:szCs w:val="24"/>
        </w:rPr>
        <w:t>because “many other companies” also employ SPEs.  It then</w:t>
      </w:r>
      <w:r w:rsidR="00CA5C57">
        <w:rPr>
          <w:rFonts w:ascii="Verdana" w:hAnsi="Verdana" w:cs="Arial"/>
          <w:sz w:val="24"/>
          <w:szCs w:val="24"/>
        </w:rPr>
        <w:t xml:space="preserve"> stated that</w:t>
      </w:r>
      <w:r>
        <w:rPr>
          <w:rFonts w:ascii="Verdana" w:hAnsi="Verdana" w:cs="Arial"/>
          <w:sz w:val="24"/>
          <w:szCs w:val="24"/>
        </w:rPr>
        <w:t xml:space="preserve"> a special committee </w:t>
      </w:r>
      <w:r w:rsidR="00CA5C57">
        <w:rPr>
          <w:rFonts w:ascii="Verdana" w:hAnsi="Verdana" w:cs="Arial"/>
          <w:sz w:val="24"/>
          <w:szCs w:val="24"/>
        </w:rPr>
        <w:t>would</w:t>
      </w:r>
      <w:r>
        <w:rPr>
          <w:rFonts w:ascii="Verdana" w:hAnsi="Verdana" w:cs="Arial"/>
          <w:sz w:val="24"/>
          <w:szCs w:val="24"/>
        </w:rPr>
        <w:t xml:space="preserve"> investigate wheth</w:t>
      </w:r>
      <w:r w:rsidR="00E77A3A">
        <w:rPr>
          <w:rFonts w:ascii="Verdana" w:hAnsi="Verdana" w:cs="Arial"/>
          <w:sz w:val="24"/>
          <w:szCs w:val="24"/>
        </w:rPr>
        <w:t>er they were used appropriately.</w:t>
      </w:r>
    </w:p>
    <w:p w:rsidR="00155BB2" w:rsidRDefault="00155BB2" w:rsidP="00CF5BAB">
      <w:pPr>
        <w:rPr>
          <w:rFonts w:ascii="Verdana" w:hAnsi="Verdana" w:cs="Arial"/>
          <w:sz w:val="24"/>
          <w:szCs w:val="24"/>
        </w:rPr>
      </w:pPr>
    </w:p>
    <w:p w:rsidR="00E17CF2" w:rsidRDefault="00194718" w:rsidP="00C40F1B">
      <w:pPr>
        <w:rPr>
          <w:rFonts w:ascii="Verdana" w:hAnsi="Verdana"/>
          <w:sz w:val="24"/>
          <w:szCs w:val="23"/>
        </w:rPr>
      </w:pPr>
      <w:r>
        <w:rPr>
          <w:rFonts w:ascii="Verdana" w:hAnsi="Verdana"/>
          <w:sz w:val="24"/>
          <w:szCs w:val="23"/>
        </w:rPr>
        <w:t xml:space="preserve">Let’s review the operation of SPEs and their accounting.  </w:t>
      </w:r>
      <w:r w:rsidR="00171B42" w:rsidRPr="00CF5BAB">
        <w:rPr>
          <w:rFonts w:ascii="Verdana" w:hAnsi="Verdana"/>
          <w:sz w:val="24"/>
          <w:szCs w:val="23"/>
        </w:rPr>
        <w:t xml:space="preserve">Generally, </w:t>
      </w:r>
      <w:r w:rsidR="00C40F1B">
        <w:rPr>
          <w:rFonts w:ascii="Verdana" w:hAnsi="Verdana"/>
          <w:sz w:val="24"/>
          <w:szCs w:val="23"/>
        </w:rPr>
        <w:t>SPE</w:t>
      </w:r>
      <w:r w:rsidR="00171B42" w:rsidRPr="00CF5BAB">
        <w:rPr>
          <w:rFonts w:ascii="Verdana" w:hAnsi="Verdana"/>
          <w:sz w:val="24"/>
          <w:szCs w:val="23"/>
        </w:rPr>
        <w:t xml:space="preserve">s </w:t>
      </w:r>
      <w:r w:rsidR="000E24F1">
        <w:rPr>
          <w:rFonts w:ascii="Verdana" w:hAnsi="Verdana"/>
          <w:sz w:val="24"/>
          <w:szCs w:val="23"/>
        </w:rPr>
        <w:t xml:space="preserve">are intermediaries </w:t>
      </w:r>
      <w:r w:rsidR="00171B42" w:rsidRPr="00CF5BAB">
        <w:rPr>
          <w:rFonts w:ascii="Verdana" w:hAnsi="Verdana"/>
          <w:sz w:val="24"/>
          <w:szCs w:val="23"/>
        </w:rPr>
        <w:t xml:space="preserve">between </w:t>
      </w:r>
      <w:r w:rsidR="000E24F1">
        <w:rPr>
          <w:rFonts w:ascii="Verdana" w:hAnsi="Verdana"/>
          <w:sz w:val="24"/>
          <w:szCs w:val="23"/>
        </w:rPr>
        <w:t>a</w:t>
      </w:r>
      <w:r w:rsidR="00171B42" w:rsidRPr="00CF5BAB">
        <w:rPr>
          <w:rFonts w:ascii="Verdana" w:hAnsi="Verdana"/>
          <w:sz w:val="24"/>
          <w:szCs w:val="23"/>
        </w:rPr>
        <w:t xml:space="preserve"> corporation and a group of investors, usually creditors.  The creditor</w:t>
      </w:r>
      <w:r w:rsidR="00E17CF2">
        <w:rPr>
          <w:rFonts w:ascii="Verdana" w:hAnsi="Verdana"/>
          <w:sz w:val="24"/>
          <w:szCs w:val="23"/>
        </w:rPr>
        <w:t>s</w:t>
      </w:r>
      <w:r w:rsidR="00171B42" w:rsidRPr="00CF5BAB">
        <w:rPr>
          <w:rFonts w:ascii="Verdana" w:hAnsi="Verdana"/>
          <w:sz w:val="24"/>
          <w:szCs w:val="23"/>
        </w:rPr>
        <w:t xml:space="preserve"> lend money to the </w:t>
      </w:r>
      <w:r w:rsidR="00C40F1B">
        <w:rPr>
          <w:rFonts w:ascii="Verdana" w:hAnsi="Verdana"/>
          <w:sz w:val="24"/>
          <w:szCs w:val="23"/>
        </w:rPr>
        <w:t>SPE</w:t>
      </w:r>
      <w:r w:rsidR="00E17CF2">
        <w:rPr>
          <w:rFonts w:ascii="Verdana" w:hAnsi="Verdana"/>
          <w:sz w:val="24"/>
          <w:szCs w:val="23"/>
        </w:rPr>
        <w:t>,</w:t>
      </w:r>
      <w:r w:rsidR="00171B42" w:rsidRPr="00CF5BAB">
        <w:rPr>
          <w:rFonts w:ascii="Verdana" w:hAnsi="Verdana"/>
          <w:sz w:val="24"/>
          <w:szCs w:val="23"/>
        </w:rPr>
        <w:t xml:space="preserve"> and the </w:t>
      </w:r>
      <w:r w:rsidR="00C40F1B">
        <w:rPr>
          <w:rFonts w:ascii="Verdana" w:hAnsi="Verdana"/>
          <w:sz w:val="24"/>
          <w:szCs w:val="23"/>
        </w:rPr>
        <w:t>SPE</w:t>
      </w:r>
      <w:r w:rsidR="00171B42" w:rsidRPr="00CF5BAB">
        <w:rPr>
          <w:rFonts w:ascii="Verdana" w:hAnsi="Verdana"/>
          <w:sz w:val="24"/>
          <w:szCs w:val="23"/>
        </w:rPr>
        <w:t xml:space="preserve"> in turn transfers cash to </w:t>
      </w:r>
      <w:r w:rsidR="00606C8D">
        <w:rPr>
          <w:rFonts w:ascii="Verdana" w:hAnsi="Verdana"/>
          <w:sz w:val="24"/>
          <w:szCs w:val="23"/>
        </w:rPr>
        <w:t xml:space="preserve">the </w:t>
      </w:r>
      <w:r w:rsidR="00E17CF2">
        <w:rPr>
          <w:rFonts w:ascii="Verdana" w:hAnsi="Verdana"/>
          <w:sz w:val="24"/>
          <w:szCs w:val="23"/>
        </w:rPr>
        <w:t>corporation (</w:t>
      </w:r>
      <w:r w:rsidR="00606C8D">
        <w:rPr>
          <w:rFonts w:ascii="Verdana" w:hAnsi="Verdana"/>
          <w:sz w:val="24"/>
          <w:szCs w:val="23"/>
        </w:rPr>
        <w:t>sponsor</w:t>
      </w:r>
      <w:r w:rsidR="00E17CF2">
        <w:rPr>
          <w:rFonts w:ascii="Verdana" w:hAnsi="Verdana"/>
          <w:sz w:val="24"/>
          <w:szCs w:val="23"/>
        </w:rPr>
        <w:t>).</w:t>
      </w:r>
      <w:r w:rsidR="002D729F">
        <w:rPr>
          <w:rFonts w:ascii="Verdana" w:hAnsi="Verdana"/>
          <w:sz w:val="24"/>
          <w:szCs w:val="23"/>
        </w:rPr>
        <w:t xml:space="preserve">  </w:t>
      </w:r>
      <w:r w:rsidR="00E17CF2">
        <w:rPr>
          <w:rFonts w:ascii="Verdana" w:hAnsi="Verdana"/>
          <w:sz w:val="24"/>
          <w:szCs w:val="23"/>
        </w:rPr>
        <w:t>S</w:t>
      </w:r>
      <w:r w:rsidR="00171B42" w:rsidRPr="00CF5BAB">
        <w:rPr>
          <w:rFonts w:ascii="Verdana" w:hAnsi="Verdana"/>
          <w:sz w:val="24"/>
          <w:szCs w:val="23"/>
        </w:rPr>
        <w:t xml:space="preserve">imultaneously, </w:t>
      </w:r>
      <w:r w:rsidR="00606C8D">
        <w:rPr>
          <w:rFonts w:ascii="Verdana" w:hAnsi="Verdana"/>
          <w:sz w:val="24"/>
          <w:szCs w:val="23"/>
        </w:rPr>
        <w:t>the sponsor</w:t>
      </w:r>
      <w:r w:rsidR="00171B42" w:rsidRPr="00CF5BAB">
        <w:rPr>
          <w:rFonts w:ascii="Verdana" w:hAnsi="Verdana"/>
          <w:sz w:val="24"/>
          <w:szCs w:val="23"/>
        </w:rPr>
        <w:t xml:space="preserve"> transfers assets to the </w:t>
      </w:r>
      <w:r w:rsidR="00C40F1B">
        <w:rPr>
          <w:rFonts w:ascii="Verdana" w:hAnsi="Verdana"/>
          <w:sz w:val="24"/>
          <w:szCs w:val="23"/>
        </w:rPr>
        <w:t>SPE</w:t>
      </w:r>
      <w:r w:rsidR="00171B42" w:rsidRPr="00CF5BAB">
        <w:rPr>
          <w:rFonts w:ascii="Verdana" w:hAnsi="Verdana"/>
          <w:sz w:val="24"/>
          <w:szCs w:val="23"/>
        </w:rPr>
        <w:t xml:space="preserve">.  As these </w:t>
      </w:r>
      <w:r w:rsidR="00E17CF2">
        <w:rPr>
          <w:rFonts w:ascii="Verdana" w:hAnsi="Verdana"/>
          <w:sz w:val="24"/>
          <w:szCs w:val="23"/>
        </w:rPr>
        <w:t xml:space="preserve">transferred </w:t>
      </w:r>
      <w:r w:rsidR="00171B42" w:rsidRPr="00CF5BAB">
        <w:rPr>
          <w:rFonts w:ascii="Verdana" w:hAnsi="Verdana"/>
          <w:sz w:val="24"/>
          <w:szCs w:val="23"/>
        </w:rPr>
        <w:t xml:space="preserve">assets generate cash, the </w:t>
      </w:r>
      <w:r w:rsidR="00C40F1B">
        <w:rPr>
          <w:rFonts w:ascii="Verdana" w:hAnsi="Verdana"/>
          <w:sz w:val="24"/>
          <w:szCs w:val="23"/>
        </w:rPr>
        <w:t>SPE</w:t>
      </w:r>
      <w:r w:rsidR="00171B42" w:rsidRPr="00CF5BAB">
        <w:rPr>
          <w:rFonts w:ascii="Verdana" w:hAnsi="Verdana"/>
          <w:sz w:val="24"/>
          <w:szCs w:val="23"/>
        </w:rPr>
        <w:t xml:space="preserve"> </w:t>
      </w:r>
      <w:r w:rsidR="00E17CF2">
        <w:rPr>
          <w:rFonts w:ascii="Verdana" w:hAnsi="Verdana"/>
          <w:sz w:val="24"/>
          <w:szCs w:val="23"/>
        </w:rPr>
        <w:t xml:space="preserve">then </w:t>
      </w:r>
      <w:r w:rsidR="00171B42" w:rsidRPr="00CF5BAB">
        <w:rPr>
          <w:rFonts w:ascii="Verdana" w:hAnsi="Verdana"/>
          <w:sz w:val="24"/>
          <w:szCs w:val="23"/>
        </w:rPr>
        <w:t xml:space="preserve">pays off its debts to the creditors.  </w:t>
      </w:r>
    </w:p>
    <w:p w:rsidR="00E17CF2" w:rsidRDefault="00E17CF2" w:rsidP="00C40F1B">
      <w:pPr>
        <w:rPr>
          <w:rFonts w:ascii="Verdana" w:hAnsi="Verdana"/>
          <w:sz w:val="24"/>
          <w:szCs w:val="23"/>
        </w:rPr>
      </w:pPr>
    </w:p>
    <w:p w:rsidR="00171B42" w:rsidRPr="00CF5BAB" w:rsidRDefault="00C40F1B" w:rsidP="00C40F1B">
      <w:pPr>
        <w:rPr>
          <w:rFonts w:ascii="Verdana" w:hAnsi="Verdana"/>
          <w:sz w:val="24"/>
          <w:szCs w:val="23"/>
        </w:rPr>
      </w:pPr>
      <w:r>
        <w:rPr>
          <w:rFonts w:ascii="Verdana" w:hAnsi="Verdana"/>
          <w:sz w:val="24"/>
          <w:szCs w:val="23"/>
        </w:rPr>
        <w:t>SPE</w:t>
      </w:r>
      <w:r w:rsidR="00171B42" w:rsidRPr="00CF5BAB">
        <w:rPr>
          <w:rFonts w:ascii="Verdana" w:hAnsi="Verdana"/>
          <w:sz w:val="24"/>
          <w:szCs w:val="23"/>
        </w:rPr>
        <w:t xml:space="preserve">s serve two purposes, one legitimate and one </w:t>
      </w:r>
      <w:r w:rsidR="00E17CF2">
        <w:rPr>
          <w:rFonts w:ascii="Verdana" w:hAnsi="Verdana"/>
          <w:sz w:val="24"/>
          <w:szCs w:val="23"/>
        </w:rPr>
        <w:t>not so</w:t>
      </w:r>
      <w:r w:rsidR="002D729F">
        <w:rPr>
          <w:rFonts w:ascii="Verdana" w:hAnsi="Verdana"/>
          <w:sz w:val="24"/>
          <w:szCs w:val="23"/>
        </w:rPr>
        <w:t xml:space="preserve"> </w:t>
      </w:r>
      <w:r w:rsidR="00171B42" w:rsidRPr="00CF5BAB">
        <w:rPr>
          <w:rFonts w:ascii="Verdana" w:hAnsi="Verdana"/>
          <w:sz w:val="24"/>
          <w:szCs w:val="23"/>
        </w:rPr>
        <w:t xml:space="preserve">legitimate.  The legitimate purpose of the </w:t>
      </w:r>
      <w:r>
        <w:rPr>
          <w:rFonts w:ascii="Verdana" w:hAnsi="Verdana"/>
          <w:sz w:val="24"/>
          <w:szCs w:val="23"/>
        </w:rPr>
        <w:t>SPE</w:t>
      </w:r>
      <w:r w:rsidR="00171B42" w:rsidRPr="00CF5BAB">
        <w:rPr>
          <w:rFonts w:ascii="Verdana" w:hAnsi="Verdana"/>
          <w:sz w:val="24"/>
          <w:szCs w:val="23"/>
        </w:rPr>
        <w:t xml:space="preserve"> occurs when the corporation dedicates assets </w:t>
      </w:r>
      <w:r w:rsidR="00E17CF2">
        <w:rPr>
          <w:rFonts w:ascii="Verdana" w:hAnsi="Verdana"/>
          <w:sz w:val="24"/>
          <w:szCs w:val="23"/>
        </w:rPr>
        <w:t xml:space="preserve">to the SPE of </w:t>
      </w:r>
      <w:r w:rsidR="00171B42" w:rsidRPr="00CF5BAB">
        <w:rPr>
          <w:rFonts w:ascii="Verdana" w:hAnsi="Verdana"/>
          <w:sz w:val="24"/>
          <w:szCs w:val="23"/>
        </w:rPr>
        <w:t xml:space="preserve">sufficient quantity and quality to entice creditors to give the </w:t>
      </w:r>
      <w:r w:rsidR="00E17CF2">
        <w:rPr>
          <w:rFonts w:ascii="Verdana" w:hAnsi="Verdana"/>
          <w:sz w:val="24"/>
          <w:szCs w:val="23"/>
        </w:rPr>
        <w:t xml:space="preserve">SPE </w:t>
      </w:r>
      <w:r w:rsidR="00171B42" w:rsidRPr="00CF5BAB">
        <w:rPr>
          <w:rFonts w:ascii="Verdana" w:hAnsi="Verdana"/>
          <w:sz w:val="24"/>
          <w:szCs w:val="23"/>
        </w:rPr>
        <w:t xml:space="preserve">a loan at a favorable interest rate.  The creditors willingly do this because </w:t>
      </w:r>
      <w:r w:rsidR="00606C8D">
        <w:rPr>
          <w:rFonts w:ascii="Verdana" w:hAnsi="Verdana"/>
          <w:sz w:val="24"/>
          <w:szCs w:val="23"/>
        </w:rPr>
        <w:t>supposedly there is less credit risk</w:t>
      </w:r>
      <w:r w:rsidR="00171B42" w:rsidRPr="00CF5BAB">
        <w:rPr>
          <w:rFonts w:ascii="Verdana" w:hAnsi="Verdana"/>
          <w:sz w:val="24"/>
          <w:szCs w:val="23"/>
        </w:rPr>
        <w:t xml:space="preserve"> in the </w:t>
      </w:r>
      <w:r>
        <w:rPr>
          <w:rFonts w:ascii="Verdana" w:hAnsi="Verdana"/>
          <w:sz w:val="24"/>
          <w:szCs w:val="23"/>
        </w:rPr>
        <w:t>SPE</w:t>
      </w:r>
      <w:r w:rsidR="00E17CF2">
        <w:rPr>
          <w:rFonts w:ascii="Verdana" w:hAnsi="Verdana"/>
          <w:sz w:val="24"/>
          <w:szCs w:val="23"/>
        </w:rPr>
        <w:t xml:space="preserve"> </w:t>
      </w:r>
      <w:r w:rsidR="002D729F">
        <w:rPr>
          <w:rFonts w:ascii="Verdana" w:hAnsi="Verdana"/>
          <w:sz w:val="24"/>
          <w:szCs w:val="23"/>
        </w:rPr>
        <w:t>due to</w:t>
      </w:r>
      <w:r w:rsidR="00E17CF2">
        <w:rPr>
          <w:rFonts w:ascii="Verdana" w:hAnsi="Verdana"/>
          <w:sz w:val="24"/>
          <w:szCs w:val="23"/>
        </w:rPr>
        <w:t xml:space="preserve"> the asset coverage</w:t>
      </w:r>
      <w:r w:rsidR="00171B42" w:rsidRPr="00CF5BAB">
        <w:rPr>
          <w:rFonts w:ascii="Verdana" w:hAnsi="Verdana"/>
          <w:sz w:val="24"/>
          <w:szCs w:val="23"/>
        </w:rPr>
        <w:t xml:space="preserve">.  </w:t>
      </w:r>
      <w:r w:rsidR="00606C8D">
        <w:rPr>
          <w:rFonts w:ascii="Verdana" w:hAnsi="Verdana"/>
          <w:sz w:val="24"/>
          <w:szCs w:val="23"/>
        </w:rPr>
        <w:t xml:space="preserve">Unfortunately, </w:t>
      </w:r>
      <w:r w:rsidR="00E17CF2">
        <w:rPr>
          <w:rFonts w:ascii="Verdana" w:hAnsi="Verdana"/>
          <w:sz w:val="24"/>
          <w:szCs w:val="23"/>
        </w:rPr>
        <w:t xml:space="preserve">however, </w:t>
      </w:r>
      <w:r w:rsidR="00606C8D">
        <w:rPr>
          <w:rFonts w:ascii="Verdana" w:hAnsi="Verdana"/>
          <w:sz w:val="24"/>
          <w:szCs w:val="23"/>
        </w:rPr>
        <w:t>b</w:t>
      </w:r>
      <w:r w:rsidR="00171B42" w:rsidRPr="00CF5BAB">
        <w:rPr>
          <w:rFonts w:ascii="Verdana" w:hAnsi="Verdana"/>
          <w:sz w:val="24"/>
          <w:szCs w:val="23"/>
        </w:rPr>
        <w:t xml:space="preserve">usiness enterprises also </w:t>
      </w:r>
      <w:r w:rsidR="00606C8D">
        <w:rPr>
          <w:rFonts w:ascii="Verdana" w:hAnsi="Verdana"/>
          <w:sz w:val="24"/>
          <w:szCs w:val="23"/>
        </w:rPr>
        <w:t>have</w:t>
      </w:r>
      <w:r w:rsidR="00171B42" w:rsidRPr="00CF5BAB">
        <w:rPr>
          <w:rFonts w:ascii="Verdana" w:hAnsi="Verdana"/>
          <w:sz w:val="24"/>
          <w:szCs w:val="23"/>
        </w:rPr>
        <w:t xml:space="preserve"> employ</w:t>
      </w:r>
      <w:r w:rsidR="00606C8D">
        <w:rPr>
          <w:rFonts w:ascii="Verdana" w:hAnsi="Verdana"/>
          <w:sz w:val="24"/>
          <w:szCs w:val="23"/>
        </w:rPr>
        <w:t>ed</w:t>
      </w:r>
      <w:r w:rsidR="00171B42" w:rsidRPr="00CF5BAB">
        <w:rPr>
          <w:rFonts w:ascii="Verdana" w:hAnsi="Verdana"/>
          <w:sz w:val="24"/>
          <w:szCs w:val="23"/>
        </w:rPr>
        <w:t xml:space="preserve"> </w:t>
      </w:r>
      <w:r>
        <w:rPr>
          <w:rFonts w:ascii="Verdana" w:hAnsi="Verdana"/>
          <w:sz w:val="24"/>
          <w:szCs w:val="23"/>
        </w:rPr>
        <w:t>SPE</w:t>
      </w:r>
      <w:r w:rsidR="00171B42" w:rsidRPr="00CF5BAB">
        <w:rPr>
          <w:rFonts w:ascii="Verdana" w:hAnsi="Verdana"/>
          <w:sz w:val="24"/>
          <w:szCs w:val="23"/>
        </w:rPr>
        <w:t xml:space="preserve">s to hide debt, because generally accepted accounting principles </w:t>
      </w:r>
      <w:r w:rsidR="00E17CF2">
        <w:rPr>
          <w:rFonts w:ascii="Verdana" w:hAnsi="Verdana"/>
          <w:sz w:val="24"/>
          <w:szCs w:val="23"/>
        </w:rPr>
        <w:t xml:space="preserve">historically </w:t>
      </w:r>
      <w:r w:rsidR="00171B42" w:rsidRPr="00CF5BAB">
        <w:rPr>
          <w:rFonts w:ascii="Verdana" w:hAnsi="Verdana"/>
          <w:sz w:val="24"/>
          <w:szCs w:val="23"/>
        </w:rPr>
        <w:t>allow</w:t>
      </w:r>
      <w:r w:rsidR="00E17CF2">
        <w:rPr>
          <w:rFonts w:ascii="Verdana" w:hAnsi="Verdana"/>
          <w:sz w:val="24"/>
          <w:szCs w:val="23"/>
        </w:rPr>
        <w:t>ed</w:t>
      </w:r>
      <w:r w:rsidR="00171B42" w:rsidRPr="00CF5BAB">
        <w:rPr>
          <w:rFonts w:ascii="Verdana" w:hAnsi="Verdana"/>
          <w:sz w:val="24"/>
          <w:szCs w:val="23"/>
        </w:rPr>
        <w:t xml:space="preserve"> firms </w:t>
      </w:r>
      <w:r w:rsidR="00E17CF2">
        <w:rPr>
          <w:rFonts w:ascii="Verdana" w:hAnsi="Verdana"/>
          <w:sz w:val="24"/>
          <w:szCs w:val="23"/>
        </w:rPr>
        <w:t xml:space="preserve">to conceal </w:t>
      </w:r>
      <w:r w:rsidR="00171B42" w:rsidRPr="00CF5BAB">
        <w:rPr>
          <w:rFonts w:ascii="Verdana" w:hAnsi="Verdana"/>
          <w:sz w:val="24"/>
          <w:szCs w:val="23"/>
        </w:rPr>
        <w:t>the liability</w:t>
      </w:r>
      <w:r w:rsidR="002D729F">
        <w:rPr>
          <w:rFonts w:ascii="Verdana" w:hAnsi="Verdana"/>
          <w:sz w:val="24"/>
          <w:szCs w:val="23"/>
        </w:rPr>
        <w:t xml:space="preserve">.  </w:t>
      </w:r>
      <w:r w:rsidR="00965668">
        <w:rPr>
          <w:rFonts w:ascii="Verdana" w:hAnsi="Verdana"/>
          <w:sz w:val="24"/>
          <w:szCs w:val="23"/>
        </w:rPr>
        <w:t xml:space="preserve">While this treatment has generally been eliminated today, </w:t>
      </w:r>
      <w:r w:rsidR="00606C8D">
        <w:rPr>
          <w:rFonts w:ascii="Verdana" w:hAnsi="Verdana"/>
          <w:sz w:val="24"/>
          <w:szCs w:val="23"/>
        </w:rPr>
        <w:t xml:space="preserve">exceptions still </w:t>
      </w:r>
      <w:r w:rsidR="00D3261B">
        <w:rPr>
          <w:rFonts w:ascii="Verdana" w:hAnsi="Verdana"/>
          <w:sz w:val="24"/>
          <w:szCs w:val="23"/>
        </w:rPr>
        <w:t xml:space="preserve">are </w:t>
      </w:r>
      <w:r w:rsidR="00606C8D">
        <w:rPr>
          <w:rFonts w:ascii="Verdana" w:hAnsi="Verdana"/>
          <w:sz w:val="24"/>
          <w:szCs w:val="23"/>
        </w:rPr>
        <w:t>allowed</w:t>
      </w:r>
      <w:r w:rsidR="00171B42" w:rsidRPr="00CF5BAB">
        <w:rPr>
          <w:rFonts w:ascii="Verdana" w:hAnsi="Verdana"/>
          <w:sz w:val="24"/>
          <w:szCs w:val="23"/>
        </w:rPr>
        <w:t xml:space="preserve">.  The FASB and the SEC </w:t>
      </w:r>
      <w:r w:rsidR="00606C8D">
        <w:rPr>
          <w:rFonts w:ascii="Verdana" w:hAnsi="Verdana"/>
          <w:sz w:val="24"/>
          <w:szCs w:val="23"/>
        </w:rPr>
        <w:t>c</w:t>
      </w:r>
      <w:r w:rsidR="00171B42" w:rsidRPr="00CF5BAB">
        <w:rPr>
          <w:rFonts w:ascii="Verdana" w:hAnsi="Verdana"/>
          <w:sz w:val="24"/>
          <w:szCs w:val="23"/>
        </w:rPr>
        <w:t xml:space="preserve">ould have closed this loophole </w:t>
      </w:r>
      <w:r w:rsidR="00606C8D">
        <w:rPr>
          <w:rFonts w:ascii="Verdana" w:hAnsi="Verdana"/>
          <w:sz w:val="24"/>
          <w:szCs w:val="23"/>
        </w:rPr>
        <w:t xml:space="preserve">decades </w:t>
      </w:r>
      <w:r w:rsidR="00171B42" w:rsidRPr="00CF5BAB">
        <w:rPr>
          <w:rFonts w:ascii="Verdana" w:hAnsi="Verdana"/>
          <w:sz w:val="24"/>
          <w:szCs w:val="23"/>
        </w:rPr>
        <w:t>ago</w:t>
      </w:r>
      <w:r w:rsidR="00606C8D">
        <w:rPr>
          <w:rFonts w:ascii="Verdana" w:hAnsi="Verdana"/>
          <w:sz w:val="24"/>
          <w:szCs w:val="23"/>
        </w:rPr>
        <w:t xml:space="preserve"> but </w:t>
      </w:r>
      <w:r w:rsidR="00D3261B">
        <w:rPr>
          <w:rFonts w:ascii="Verdana" w:hAnsi="Verdana"/>
          <w:sz w:val="24"/>
          <w:szCs w:val="23"/>
        </w:rPr>
        <w:t xml:space="preserve">have </w:t>
      </w:r>
      <w:r w:rsidR="00606C8D">
        <w:rPr>
          <w:rFonts w:ascii="Verdana" w:hAnsi="Verdana"/>
          <w:sz w:val="24"/>
          <w:szCs w:val="23"/>
        </w:rPr>
        <w:t>chose</w:t>
      </w:r>
      <w:r w:rsidR="00D3261B">
        <w:rPr>
          <w:rFonts w:ascii="Verdana" w:hAnsi="Verdana"/>
          <w:sz w:val="24"/>
          <w:szCs w:val="23"/>
        </w:rPr>
        <w:t>n</w:t>
      </w:r>
      <w:r w:rsidR="00606C8D">
        <w:rPr>
          <w:rFonts w:ascii="Verdana" w:hAnsi="Verdana"/>
          <w:sz w:val="24"/>
          <w:szCs w:val="23"/>
        </w:rPr>
        <w:t xml:space="preserve"> not to</w:t>
      </w:r>
      <w:r w:rsidR="00D3261B">
        <w:rPr>
          <w:rFonts w:ascii="Verdana" w:hAnsi="Verdana"/>
          <w:sz w:val="24"/>
          <w:szCs w:val="23"/>
        </w:rPr>
        <w:t xml:space="preserve"> do so</w:t>
      </w:r>
      <w:r w:rsidR="00171B42" w:rsidRPr="00CF5BAB">
        <w:rPr>
          <w:rFonts w:ascii="Verdana" w:hAnsi="Verdana"/>
          <w:sz w:val="24"/>
          <w:szCs w:val="23"/>
        </w:rPr>
        <w:t>.</w:t>
      </w:r>
    </w:p>
    <w:p w:rsidR="00171B42" w:rsidRDefault="00171B42" w:rsidP="00CF5BAB">
      <w:pPr>
        <w:rPr>
          <w:rFonts w:ascii="Verdana" w:hAnsi="Verdana" w:cs="Arial"/>
          <w:sz w:val="24"/>
          <w:szCs w:val="24"/>
        </w:rPr>
      </w:pPr>
    </w:p>
    <w:p w:rsidR="00606C8D" w:rsidRDefault="00D3261B" w:rsidP="00CF5BAB">
      <w:pPr>
        <w:rPr>
          <w:rFonts w:ascii="Verdana" w:hAnsi="Verdana" w:cs="Arial"/>
          <w:sz w:val="24"/>
          <w:szCs w:val="24"/>
        </w:rPr>
      </w:pPr>
      <w:r>
        <w:rPr>
          <w:rFonts w:ascii="Verdana" w:hAnsi="Verdana" w:cs="Arial"/>
          <w:sz w:val="24"/>
          <w:szCs w:val="24"/>
        </w:rPr>
        <w:t>T</w:t>
      </w:r>
      <w:r w:rsidR="00606C8D">
        <w:rPr>
          <w:rFonts w:ascii="Verdana" w:hAnsi="Verdana" w:cs="Arial"/>
          <w:sz w:val="24"/>
          <w:szCs w:val="24"/>
        </w:rPr>
        <w:t xml:space="preserve">he rule that governed SPE accounting </w:t>
      </w:r>
      <w:r>
        <w:rPr>
          <w:rFonts w:ascii="Verdana" w:hAnsi="Verdana" w:cs="Arial"/>
          <w:sz w:val="24"/>
          <w:szCs w:val="24"/>
        </w:rPr>
        <w:t xml:space="preserve">for Enron </w:t>
      </w:r>
      <w:r w:rsidR="00606C8D">
        <w:rPr>
          <w:rFonts w:ascii="Verdana" w:hAnsi="Verdana" w:cs="Arial"/>
          <w:sz w:val="24"/>
          <w:szCs w:val="24"/>
        </w:rPr>
        <w:t xml:space="preserve">was </w:t>
      </w:r>
      <w:hyperlink r:id="rId6" w:history="1">
        <w:r w:rsidR="00606C8D" w:rsidRPr="00606C8D">
          <w:rPr>
            <w:rStyle w:val="Hyperlink"/>
            <w:rFonts w:ascii="Verdana" w:hAnsi="Verdana" w:cs="Arial"/>
            <w:sz w:val="24"/>
            <w:szCs w:val="24"/>
          </w:rPr>
          <w:t>EITF 90-15</w:t>
        </w:r>
      </w:hyperlink>
      <w:r w:rsidR="00606C8D">
        <w:rPr>
          <w:rFonts w:ascii="Verdana" w:hAnsi="Verdana" w:cs="Arial"/>
          <w:sz w:val="24"/>
          <w:szCs w:val="24"/>
        </w:rPr>
        <w:t xml:space="preserve">.  </w:t>
      </w:r>
      <w:r>
        <w:rPr>
          <w:rFonts w:ascii="Verdana" w:hAnsi="Verdana" w:cs="Arial"/>
          <w:sz w:val="24"/>
          <w:szCs w:val="24"/>
        </w:rPr>
        <w:t xml:space="preserve">This </w:t>
      </w:r>
      <w:r w:rsidR="00606C8D">
        <w:rPr>
          <w:rFonts w:ascii="Verdana" w:hAnsi="Verdana" w:cs="Arial"/>
          <w:sz w:val="24"/>
          <w:szCs w:val="24"/>
        </w:rPr>
        <w:t>EITF</w:t>
      </w:r>
      <w:r w:rsidR="003643E1">
        <w:rPr>
          <w:rFonts w:ascii="Verdana" w:hAnsi="Verdana" w:cs="Arial"/>
          <w:sz w:val="24"/>
          <w:szCs w:val="24"/>
        </w:rPr>
        <w:t>, which</w:t>
      </w:r>
      <w:r w:rsidR="00606C8D">
        <w:rPr>
          <w:rFonts w:ascii="Verdana" w:hAnsi="Verdana" w:cs="Arial"/>
          <w:sz w:val="24"/>
          <w:szCs w:val="24"/>
        </w:rPr>
        <w:t xml:space="preserve"> applied </w:t>
      </w:r>
      <w:r w:rsidR="002D729F">
        <w:rPr>
          <w:rFonts w:ascii="Verdana" w:hAnsi="Verdana" w:cs="Arial"/>
          <w:sz w:val="24"/>
          <w:szCs w:val="24"/>
        </w:rPr>
        <w:t>initi</w:t>
      </w:r>
      <w:r>
        <w:rPr>
          <w:rFonts w:ascii="Verdana" w:hAnsi="Verdana" w:cs="Arial"/>
          <w:sz w:val="24"/>
          <w:szCs w:val="24"/>
        </w:rPr>
        <w:t xml:space="preserve">ally to </w:t>
      </w:r>
      <w:r w:rsidR="00606C8D">
        <w:rPr>
          <w:rFonts w:ascii="Verdana" w:hAnsi="Verdana" w:cs="Arial"/>
          <w:sz w:val="24"/>
          <w:szCs w:val="24"/>
        </w:rPr>
        <w:t>leasing SPEs</w:t>
      </w:r>
      <w:r w:rsidR="003643E1">
        <w:rPr>
          <w:rFonts w:ascii="Verdana" w:hAnsi="Verdana" w:cs="Arial"/>
          <w:sz w:val="24"/>
          <w:szCs w:val="24"/>
        </w:rPr>
        <w:t xml:space="preserve">, </w:t>
      </w:r>
      <w:r w:rsidR="00606C8D">
        <w:rPr>
          <w:rFonts w:ascii="Verdana" w:hAnsi="Verdana" w:cs="Arial"/>
          <w:sz w:val="24"/>
          <w:szCs w:val="24"/>
        </w:rPr>
        <w:t>stated that at least three percent of its total</w:t>
      </w:r>
      <w:r w:rsidR="000A6892">
        <w:rPr>
          <w:rFonts w:ascii="Verdana" w:hAnsi="Verdana" w:cs="Arial"/>
          <w:sz w:val="24"/>
          <w:szCs w:val="24"/>
        </w:rPr>
        <w:t xml:space="preserve"> equity</w:t>
      </w:r>
      <w:r w:rsidR="00606C8D">
        <w:rPr>
          <w:rFonts w:ascii="Verdana" w:hAnsi="Verdana" w:cs="Arial"/>
          <w:sz w:val="24"/>
          <w:szCs w:val="24"/>
        </w:rPr>
        <w:t xml:space="preserve"> must come from an independent, outside source</w:t>
      </w:r>
      <w:r w:rsidR="009C4F0C">
        <w:rPr>
          <w:rFonts w:ascii="Verdana" w:hAnsi="Verdana" w:cs="Arial"/>
          <w:sz w:val="24"/>
          <w:szCs w:val="24"/>
        </w:rPr>
        <w:t>.  If not, then</w:t>
      </w:r>
      <w:r w:rsidR="00606C8D">
        <w:rPr>
          <w:rFonts w:ascii="Verdana" w:hAnsi="Verdana" w:cs="Arial"/>
          <w:sz w:val="24"/>
          <w:szCs w:val="24"/>
        </w:rPr>
        <w:t xml:space="preserve"> </w:t>
      </w:r>
      <w:r w:rsidR="00316FA9">
        <w:rPr>
          <w:rFonts w:ascii="Verdana" w:hAnsi="Verdana" w:cs="Arial"/>
          <w:sz w:val="24"/>
          <w:szCs w:val="24"/>
        </w:rPr>
        <w:t xml:space="preserve">the sponsor should consolidate the operations of the SPE with its own results.  The effect of a consolidation is </w:t>
      </w:r>
      <w:r w:rsidR="009C4F0C">
        <w:rPr>
          <w:rFonts w:ascii="Verdana" w:hAnsi="Verdana" w:cs="Arial"/>
          <w:sz w:val="24"/>
          <w:szCs w:val="24"/>
        </w:rPr>
        <w:t xml:space="preserve">that the sponsor </w:t>
      </w:r>
      <w:r w:rsidR="00316FA9">
        <w:rPr>
          <w:rFonts w:ascii="Verdana" w:hAnsi="Verdana" w:cs="Arial"/>
          <w:sz w:val="24"/>
          <w:szCs w:val="24"/>
        </w:rPr>
        <w:t>treat</w:t>
      </w:r>
      <w:r w:rsidR="009C4F0C">
        <w:rPr>
          <w:rFonts w:ascii="Verdana" w:hAnsi="Verdana" w:cs="Arial"/>
          <w:sz w:val="24"/>
          <w:szCs w:val="24"/>
        </w:rPr>
        <w:t>s</w:t>
      </w:r>
      <w:r w:rsidR="00316FA9">
        <w:rPr>
          <w:rFonts w:ascii="Verdana" w:hAnsi="Verdana" w:cs="Arial"/>
          <w:sz w:val="24"/>
          <w:szCs w:val="24"/>
        </w:rPr>
        <w:t xml:space="preserve"> the </w:t>
      </w:r>
      <w:r w:rsidR="00316FA9">
        <w:rPr>
          <w:rFonts w:ascii="Verdana" w:hAnsi="Verdana" w:cs="Arial"/>
          <w:sz w:val="24"/>
          <w:szCs w:val="24"/>
        </w:rPr>
        <w:lastRenderedPageBreak/>
        <w:t>transaction as a securitized bor</w:t>
      </w:r>
      <w:r w:rsidR="001052EF">
        <w:rPr>
          <w:rFonts w:ascii="Verdana" w:hAnsi="Verdana" w:cs="Arial"/>
          <w:sz w:val="24"/>
          <w:szCs w:val="24"/>
        </w:rPr>
        <w:t>rowing; otherwise, a gain or loss is computed and the debt is off balance sheet.</w:t>
      </w:r>
    </w:p>
    <w:p w:rsidR="00171B42" w:rsidRDefault="00171B42" w:rsidP="00CF5BAB">
      <w:pPr>
        <w:rPr>
          <w:rFonts w:ascii="Verdana" w:hAnsi="Verdana" w:cs="Arial"/>
          <w:sz w:val="24"/>
          <w:szCs w:val="24"/>
        </w:rPr>
      </w:pPr>
    </w:p>
    <w:p w:rsidR="00606C8D" w:rsidRDefault="00606C8D" w:rsidP="00606C8D">
      <w:pPr>
        <w:rPr>
          <w:rFonts w:ascii="Verdana" w:hAnsi="Verdana" w:cs="Arial"/>
          <w:sz w:val="24"/>
          <w:szCs w:val="24"/>
        </w:rPr>
      </w:pPr>
      <w:r>
        <w:rPr>
          <w:rFonts w:ascii="Verdana" w:hAnsi="Verdana" w:cs="Arial"/>
          <w:sz w:val="24"/>
          <w:szCs w:val="24"/>
        </w:rPr>
        <w:t>The</w:t>
      </w:r>
      <w:r w:rsidR="00316FA9">
        <w:rPr>
          <w:rFonts w:ascii="Verdana" w:hAnsi="Verdana" w:cs="Arial"/>
          <w:sz w:val="24"/>
          <w:szCs w:val="24"/>
        </w:rPr>
        <w:t xml:space="preserve"> November 8, 2001</w:t>
      </w:r>
      <w:r>
        <w:rPr>
          <w:rFonts w:ascii="Verdana" w:hAnsi="Verdana" w:cs="Arial"/>
          <w:sz w:val="24"/>
          <w:szCs w:val="24"/>
        </w:rPr>
        <w:t xml:space="preserve"> </w:t>
      </w:r>
      <w:r w:rsidR="009C4F0C">
        <w:rPr>
          <w:rFonts w:ascii="Verdana" w:hAnsi="Verdana" w:cs="Arial"/>
          <w:sz w:val="24"/>
          <w:szCs w:val="24"/>
        </w:rPr>
        <w:t>8-K also</w:t>
      </w:r>
      <w:r>
        <w:rPr>
          <w:rFonts w:ascii="Verdana" w:hAnsi="Verdana" w:cs="Arial"/>
          <w:sz w:val="24"/>
          <w:szCs w:val="24"/>
        </w:rPr>
        <w:t xml:space="preserve"> informs the reader that Enron needs to restate its financial statements from 1997 up to and including the second quarter of 2001</w:t>
      </w:r>
      <w:r w:rsidR="009C4F0C">
        <w:rPr>
          <w:rFonts w:ascii="Verdana" w:hAnsi="Verdana" w:cs="Arial"/>
          <w:sz w:val="24"/>
          <w:szCs w:val="24"/>
        </w:rPr>
        <w:t xml:space="preserve"> for several reasons</w:t>
      </w:r>
      <w:r>
        <w:rPr>
          <w:rFonts w:ascii="Verdana" w:hAnsi="Verdana" w:cs="Arial"/>
          <w:sz w:val="24"/>
          <w:szCs w:val="24"/>
        </w:rPr>
        <w:t xml:space="preserve">.  First, some restatement is needed “to reflect its conclusion that three entities did not meet certain accounting requirements and should have been consolidated.”  </w:t>
      </w:r>
      <w:r w:rsidR="009C4F0C">
        <w:rPr>
          <w:rFonts w:ascii="Verdana" w:hAnsi="Verdana" w:cs="Arial"/>
          <w:sz w:val="24"/>
          <w:szCs w:val="24"/>
        </w:rPr>
        <w:t>However, t</w:t>
      </w:r>
      <w:r w:rsidR="00316FA9">
        <w:rPr>
          <w:rFonts w:ascii="Verdana" w:hAnsi="Verdana" w:cs="Arial"/>
          <w:sz w:val="24"/>
          <w:szCs w:val="24"/>
        </w:rPr>
        <w:t xml:space="preserve">he main requirement that was not met was the three percent threshold.  </w:t>
      </w:r>
      <w:r>
        <w:rPr>
          <w:rFonts w:ascii="Verdana" w:hAnsi="Verdana" w:cs="Arial"/>
          <w:sz w:val="24"/>
          <w:szCs w:val="24"/>
        </w:rPr>
        <w:t xml:space="preserve">In the next three paragraphs </w:t>
      </w:r>
      <w:r w:rsidR="009C4F0C">
        <w:rPr>
          <w:rFonts w:ascii="Verdana" w:hAnsi="Verdana" w:cs="Arial"/>
          <w:sz w:val="24"/>
          <w:szCs w:val="24"/>
        </w:rPr>
        <w:t xml:space="preserve">of the filing, Enron </w:t>
      </w:r>
      <w:r>
        <w:rPr>
          <w:rFonts w:ascii="Verdana" w:hAnsi="Verdana" w:cs="Arial"/>
          <w:sz w:val="24"/>
          <w:szCs w:val="24"/>
        </w:rPr>
        <w:t>identifie</w:t>
      </w:r>
      <w:r w:rsidR="009C4F0C">
        <w:rPr>
          <w:rFonts w:ascii="Verdana" w:hAnsi="Verdana" w:cs="Arial"/>
          <w:sz w:val="24"/>
          <w:szCs w:val="24"/>
        </w:rPr>
        <w:t>d</w:t>
      </w:r>
      <w:r>
        <w:rPr>
          <w:rFonts w:ascii="Verdana" w:hAnsi="Verdana" w:cs="Arial"/>
          <w:sz w:val="24"/>
          <w:szCs w:val="24"/>
        </w:rPr>
        <w:t xml:space="preserve"> </w:t>
      </w:r>
      <w:r w:rsidR="009C4F0C">
        <w:rPr>
          <w:rFonts w:ascii="Verdana" w:hAnsi="Verdana" w:cs="Arial"/>
          <w:sz w:val="24"/>
          <w:szCs w:val="24"/>
        </w:rPr>
        <w:t>the three entit</w:t>
      </w:r>
      <w:r w:rsidR="002D729F">
        <w:rPr>
          <w:rFonts w:ascii="Verdana" w:hAnsi="Verdana" w:cs="Arial"/>
          <w:sz w:val="24"/>
          <w:szCs w:val="24"/>
        </w:rPr>
        <w:t>i</w:t>
      </w:r>
      <w:r w:rsidR="009C4F0C">
        <w:rPr>
          <w:rFonts w:ascii="Verdana" w:hAnsi="Verdana" w:cs="Arial"/>
          <w:sz w:val="24"/>
          <w:szCs w:val="24"/>
        </w:rPr>
        <w:t xml:space="preserve">es requiring consolidation as </w:t>
      </w:r>
      <w:r>
        <w:rPr>
          <w:rFonts w:ascii="Verdana" w:hAnsi="Verdana" w:cs="Arial"/>
          <w:sz w:val="24"/>
          <w:szCs w:val="24"/>
        </w:rPr>
        <w:t>Chewco Investments, JEDI, and LJM1.</w:t>
      </w:r>
    </w:p>
    <w:p w:rsidR="00171B42" w:rsidRDefault="00171B42" w:rsidP="00CF5BAB">
      <w:pPr>
        <w:rPr>
          <w:rFonts w:ascii="Verdana" w:hAnsi="Verdana" w:cs="Arial"/>
          <w:sz w:val="24"/>
          <w:szCs w:val="24"/>
        </w:rPr>
      </w:pPr>
    </w:p>
    <w:p w:rsidR="002D729F" w:rsidRDefault="00E77A3A" w:rsidP="00E77A3A">
      <w:pPr>
        <w:rPr>
          <w:rFonts w:ascii="Verdana" w:hAnsi="Verdana"/>
          <w:sz w:val="24"/>
          <w:szCs w:val="23"/>
        </w:rPr>
      </w:pPr>
      <w:r>
        <w:rPr>
          <w:rFonts w:ascii="Verdana" w:hAnsi="Verdana"/>
          <w:sz w:val="24"/>
          <w:szCs w:val="23"/>
        </w:rPr>
        <w:t>Enron</w:t>
      </w:r>
      <w:r w:rsidR="00DE78D3">
        <w:rPr>
          <w:rFonts w:ascii="Verdana" w:hAnsi="Verdana"/>
          <w:sz w:val="24"/>
          <w:szCs w:val="23"/>
        </w:rPr>
        <w:t xml:space="preserve"> also</w:t>
      </w:r>
      <w:r>
        <w:rPr>
          <w:rFonts w:ascii="Verdana" w:hAnsi="Verdana"/>
          <w:sz w:val="24"/>
          <w:szCs w:val="23"/>
        </w:rPr>
        <w:t xml:space="preserve"> confesses that Chewco is a related party</w:t>
      </w:r>
      <w:r w:rsidR="007302E2">
        <w:rPr>
          <w:rFonts w:ascii="Verdana" w:hAnsi="Verdana"/>
          <w:sz w:val="24"/>
          <w:szCs w:val="23"/>
        </w:rPr>
        <w:t>, which is significant because business enterprises have disclosure obligations for related party transactions.</w:t>
      </w:r>
      <w:r>
        <w:rPr>
          <w:rFonts w:ascii="Verdana" w:hAnsi="Verdana"/>
          <w:sz w:val="24"/>
          <w:szCs w:val="23"/>
        </w:rPr>
        <w:t xml:space="preserve">  </w:t>
      </w:r>
      <w:r w:rsidRPr="00E77A3A">
        <w:rPr>
          <w:rFonts w:ascii="Verdana" w:hAnsi="Verdana"/>
          <w:sz w:val="24"/>
          <w:szCs w:val="23"/>
        </w:rPr>
        <w:t xml:space="preserve">Related party transactions </w:t>
      </w:r>
      <w:r w:rsidRPr="00CF5BAB">
        <w:rPr>
          <w:rFonts w:ascii="Verdana" w:hAnsi="Verdana"/>
          <w:sz w:val="24"/>
          <w:szCs w:val="23"/>
        </w:rPr>
        <w:t xml:space="preserve">occur when the firm participates in a transaction with another entity or person that is not at “arms length.”  In other words, the business enterprise transacts with another party that is somehow related to it, such as between a parent company and its subsidiaries, </w:t>
      </w:r>
      <w:r w:rsidR="007302E2">
        <w:rPr>
          <w:rFonts w:ascii="Verdana" w:hAnsi="Verdana"/>
          <w:sz w:val="24"/>
          <w:szCs w:val="23"/>
        </w:rPr>
        <w:t xml:space="preserve">between </w:t>
      </w:r>
      <w:r w:rsidRPr="00CF5BAB">
        <w:rPr>
          <w:rFonts w:ascii="Verdana" w:hAnsi="Verdana"/>
          <w:sz w:val="24"/>
          <w:szCs w:val="23"/>
        </w:rPr>
        <w:t>a corporation and its pension plan, or</w:t>
      </w:r>
      <w:r w:rsidR="007302E2">
        <w:rPr>
          <w:rFonts w:ascii="Verdana" w:hAnsi="Verdana"/>
          <w:sz w:val="24"/>
          <w:szCs w:val="23"/>
        </w:rPr>
        <w:t xml:space="preserve"> between</w:t>
      </w:r>
      <w:r w:rsidRPr="00CF5BAB">
        <w:rPr>
          <w:rFonts w:ascii="Verdana" w:hAnsi="Verdana"/>
          <w:sz w:val="24"/>
          <w:szCs w:val="23"/>
        </w:rPr>
        <w:t xml:space="preserve"> a firm and its managers.  Because the firm might not engage in transactions with related parties that are </w:t>
      </w:r>
      <w:r w:rsidR="000A6892">
        <w:rPr>
          <w:rFonts w:ascii="Verdana" w:hAnsi="Verdana"/>
          <w:sz w:val="24"/>
          <w:szCs w:val="23"/>
        </w:rPr>
        <w:t>truly arms-length transactions</w:t>
      </w:r>
      <w:r w:rsidRPr="00CF5BAB">
        <w:rPr>
          <w:rFonts w:ascii="Verdana" w:hAnsi="Verdana"/>
          <w:sz w:val="24"/>
          <w:szCs w:val="23"/>
        </w:rPr>
        <w:t xml:space="preserve"> (for example,</w:t>
      </w:r>
      <w:r w:rsidR="002D729F">
        <w:rPr>
          <w:rFonts w:ascii="Verdana" w:hAnsi="Verdana"/>
          <w:sz w:val="24"/>
          <w:szCs w:val="23"/>
        </w:rPr>
        <w:t xml:space="preserve"> </w:t>
      </w:r>
      <w:r w:rsidR="000A6892">
        <w:rPr>
          <w:rFonts w:ascii="Verdana" w:hAnsi="Verdana"/>
          <w:sz w:val="24"/>
          <w:szCs w:val="23"/>
        </w:rPr>
        <w:t>Fastow and others were accused of engineering some transactions to the detriment of Enron while enriching themselves</w:t>
      </w:r>
      <w:r w:rsidRPr="00CF5BAB">
        <w:rPr>
          <w:rFonts w:ascii="Verdana" w:hAnsi="Verdana"/>
          <w:sz w:val="24"/>
          <w:szCs w:val="23"/>
        </w:rPr>
        <w:t>), the FASB requires in F</w:t>
      </w:r>
      <w:r w:rsidR="007302E2">
        <w:rPr>
          <w:rFonts w:ascii="Verdana" w:hAnsi="Verdana"/>
          <w:sz w:val="24"/>
          <w:szCs w:val="23"/>
        </w:rPr>
        <w:t>AS</w:t>
      </w:r>
      <w:r w:rsidRPr="00CF5BAB">
        <w:rPr>
          <w:rFonts w:ascii="Verdana" w:hAnsi="Verdana"/>
          <w:sz w:val="24"/>
          <w:szCs w:val="23"/>
        </w:rPr>
        <w:t xml:space="preserve"> No. 57 that the entity disclose the related party transactions, including the dollar amounts involved.  LJM</w:t>
      </w:r>
      <w:r w:rsidR="007302E2">
        <w:rPr>
          <w:rFonts w:ascii="Verdana" w:hAnsi="Verdana"/>
          <w:sz w:val="24"/>
          <w:szCs w:val="23"/>
        </w:rPr>
        <w:t>1 and LJM2</w:t>
      </w:r>
      <w:r w:rsidRPr="00CF5BAB">
        <w:rPr>
          <w:rFonts w:ascii="Verdana" w:hAnsi="Verdana"/>
          <w:sz w:val="24"/>
          <w:szCs w:val="23"/>
        </w:rPr>
        <w:t xml:space="preserve"> were run by and partially owned by top managers within Enron</w:t>
      </w:r>
      <w:r w:rsidR="007302E2">
        <w:rPr>
          <w:rFonts w:ascii="Verdana" w:hAnsi="Verdana"/>
          <w:sz w:val="24"/>
          <w:szCs w:val="23"/>
        </w:rPr>
        <w:t>, so</w:t>
      </w:r>
      <w:r w:rsidRPr="00CF5BAB">
        <w:rPr>
          <w:rFonts w:ascii="Verdana" w:hAnsi="Verdana"/>
          <w:sz w:val="24"/>
          <w:szCs w:val="23"/>
        </w:rPr>
        <w:t xml:space="preserve"> the creation of these limited partnerships and the subsequent transactions between Enron and the limited partnerships constituted related party transactions.  Enron’s disclosures about these related party transactions were cryptic, obscure, and made it very hard for a reader of the financial statements to discern their true nature.</w:t>
      </w:r>
      <w:r w:rsidR="007302E2">
        <w:rPr>
          <w:rFonts w:ascii="Verdana" w:hAnsi="Verdana"/>
          <w:sz w:val="24"/>
          <w:szCs w:val="23"/>
        </w:rPr>
        <w:t xml:space="preserve">  The November 8, 2001 filing admitted the nature of the transactions involved related parties but said little else at that time.</w:t>
      </w:r>
    </w:p>
    <w:p w:rsidR="00E77A3A" w:rsidRPr="00CF5BAB" w:rsidRDefault="00E77A3A" w:rsidP="00E77A3A">
      <w:pPr>
        <w:rPr>
          <w:rFonts w:ascii="Verdana" w:hAnsi="Verdana"/>
          <w:sz w:val="24"/>
          <w:szCs w:val="23"/>
        </w:rPr>
      </w:pPr>
    </w:p>
    <w:p w:rsidR="00D60BDE" w:rsidRDefault="00D60BDE" w:rsidP="00D60BDE">
      <w:pPr>
        <w:rPr>
          <w:rFonts w:ascii="Verdana" w:hAnsi="Verdana" w:cs="Arial"/>
          <w:sz w:val="24"/>
          <w:szCs w:val="24"/>
        </w:rPr>
      </w:pPr>
      <w:r>
        <w:rPr>
          <w:rFonts w:ascii="Verdana" w:hAnsi="Verdana" w:cs="Arial"/>
          <w:sz w:val="24"/>
          <w:szCs w:val="24"/>
        </w:rPr>
        <w:t>On page 9 of the 8-K Enron further described LJM1 and LJM2 as limited partnerships.  Besides the issue of consolidation, the firm discussed the management issue and implied that Andrew Fastow had improperly sold his interests in LJM1 and LJM2 to Kopper and they did not seek the directors’ approval of various transactions.  The filing then laid out these transactions: sales of assets to and from these entities; purchases of debt and equity interests by LJM1 or LJM2 into Enron’s SPEs or other affiliates; sale of a call option and a put option on physical assets and a subordinated loan to LJM2.  The filing then provided details on these and related activities.</w:t>
      </w:r>
    </w:p>
    <w:p w:rsidR="00316FA9" w:rsidRDefault="00316FA9" w:rsidP="00CF5BAB">
      <w:pPr>
        <w:rPr>
          <w:rFonts w:ascii="Verdana" w:hAnsi="Verdana" w:cs="Arial"/>
          <w:sz w:val="24"/>
          <w:szCs w:val="24"/>
        </w:rPr>
      </w:pPr>
    </w:p>
    <w:p w:rsidR="00171B42" w:rsidRDefault="009C4F0C" w:rsidP="00CF5BAB">
      <w:pPr>
        <w:rPr>
          <w:rFonts w:ascii="Verdana" w:hAnsi="Verdana" w:cs="Arial"/>
          <w:sz w:val="24"/>
          <w:szCs w:val="24"/>
        </w:rPr>
      </w:pPr>
      <w:r>
        <w:rPr>
          <w:rFonts w:ascii="Verdana" w:hAnsi="Verdana" w:cs="Arial"/>
          <w:sz w:val="24"/>
          <w:szCs w:val="24"/>
        </w:rPr>
        <w:lastRenderedPageBreak/>
        <w:t>The 8-K</w:t>
      </w:r>
      <w:r w:rsidR="00AD1FD5">
        <w:rPr>
          <w:rFonts w:ascii="Verdana" w:hAnsi="Verdana" w:cs="Arial"/>
          <w:sz w:val="24"/>
          <w:szCs w:val="24"/>
        </w:rPr>
        <w:t xml:space="preserve"> </w:t>
      </w:r>
      <w:r w:rsidR="00DE78D3">
        <w:rPr>
          <w:rFonts w:ascii="Verdana" w:hAnsi="Verdana" w:cs="Arial"/>
          <w:sz w:val="24"/>
          <w:szCs w:val="24"/>
        </w:rPr>
        <w:t xml:space="preserve">filing further states that </w:t>
      </w:r>
      <w:r>
        <w:rPr>
          <w:rFonts w:ascii="Verdana" w:hAnsi="Verdana" w:cs="Arial"/>
          <w:sz w:val="24"/>
          <w:szCs w:val="24"/>
        </w:rPr>
        <w:t xml:space="preserve">Enron </w:t>
      </w:r>
      <w:r w:rsidR="00DE78D3">
        <w:rPr>
          <w:rFonts w:ascii="Verdana" w:hAnsi="Verdana" w:cs="Arial"/>
          <w:sz w:val="24"/>
          <w:szCs w:val="24"/>
        </w:rPr>
        <w:t xml:space="preserve">was an investor in JEDI and should have consolidated those activities into Enron’s financial statements.  Apparently, the company used the equity method to do the accounting, which is an off-balance sheet technique that </w:t>
      </w:r>
      <w:r w:rsidR="00AD1FD5">
        <w:rPr>
          <w:rFonts w:ascii="Verdana" w:hAnsi="Verdana" w:cs="Arial"/>
          <w:sz w:val="24"/>
          <w:szCs w:val="24"/>
        </w:rPr>
        <w:t xml:space="preserve">hides </w:t>
      </w:r>
      <w:r w:rsidR="00DE78D3">
        <w:rPr>
          <w:rFonts w:ascii="Verdana" w:hAnsi="Verdana" w:cs="Arial"/>
          <w:sz w:val="24"/>
          <w:szCs w:val="24"/>
        </w:rPr>
        <w:t xml:space="preserve">the investee’s liabilities </w:t>
      </w:r>
      <w:r w:rsidR="00AD1FD5">
        <w:rPr>
          <w:rFonts w:ascii="Verdana" w:hAnsi="Verdana" w:cs="Arial"/>
          <w:sz w:val="24"/>
          <w:szCs w:val="24"/>
        </w:rPr>
        <w:t>from readers of the financial reports.</w:t>
      </w:r>
    </w:p>
    <w:p w:rsidR="002D729F" w:rsidRDefault="002D729F" w:rsidP="00CF5BAB">
      <w:pPr>
        <w:rPr>
          <w:rFonts w:ascii="Verdana" w:hAnsi="Verdana" w:cs="Arial"/>
          <w:sz w:val="24"/>
          <w:szCs w:val="24"/>
        </w:rPr>
      </w:pPr>
    </w:p>
    <w:p w:rsidR="007813FA" w:rsidRPr="00CF5BAB" w:rsidRDefault="0088667D" w:rsidP="007813FA">
      <w:pPr>
        <w:rPr>
          <w:rFonts w:ascii="Verdana" w:hAnsi="Verdana"/>
          <w:sz w:val="24"/>
          <w:szCs w:val="23"/>
        </w:rPr>
      </w:pPr>
      <w:r>
        <w:rPr>
          <w:rFonts w:ascii="Verdana" w:hAnsi="Verdana"/>
          <w:sz w:val="24"/>
          <w:szCs w:val="23"/>
        </w:rPr>
        <w:t>Another r</w:t>
      </w:r>
      <w:r w:rsidR="007813FA">
        <w:rPr>
          <w:rFonts w:ascii="Verdana" w:hAnsi="Verdana"/>
          <w:sz w:val="24"/>
          <w:szCs w:val="23"/>
        </w:rPr>
        <w:t>estatement focuse</w:t>
      </w:r>
      <w:r w:rsidR="009C4F0C">
        <w:rPr>
          <w:rFonts w:ascii="Verdana" w:hAnsi="Verdana"/>
          <w:sz w:val="24"/>
          <w:szCs w:val="23"/>
        </w:rPr>
        <w:t>d</w:t>
      </w:r>
      <w:r w:rsidR="007813FA">
        <w:rPr>
          <w:rFonts w:ascii="Verdana" w:hAnsi="Verdana"/>
          <w:sz w:val="24"/>
          <w:szCs w:val="23"/>
        </w:rPr>
        <w:t xml:space="preserve"> on </w:t>
      </w:r>
      <w:r w:rsidR="007813FA" w:rsidRPr="00CF5BAB">
        <w:rPr>
          <w:rFonts w:ascii="Verdana" w:hAnsi="Verdana"/>
          <w:sz w:val="24"/>
          <w:szCs w:val="23"/>
        </w:rPr>
        <w:t xml:space="preserve">Enron’s faulty accounting </w:t>
      </w:r>
      <w:r w:rsidR="007813FA">
        <w:rPr>
          <w:rFonts w:ascii="Verdana" w:hAnsi="Verdana"/>
          <w:sz w:val="24"/>
          <w:szCs w:val="23"/>
        </w:rPr>
        <w:t>of</w:t>
      </w:r>
      <w:r w:rsidR="002D729F">
        <w:rPr>
          <w:rFonts w:ascii="Verdana" w:hAnsi="Verdana"/>
          <w:sz w:val="24"/>
          <w:szCs w:val="23"/>
        </w:rPr>
        <w:t xml:space="preserve"> </w:t>
      </w:r>
      <w:r w:rsidR="007813FA" w:rsidRPr="00CF5BAB">
        <w:rPr>
          <w:rFonts w:ascii="Verdana" w:hAnsi="Verdana"/>
          <w:sz w:val="24"/>
          <w:szCs w:val="23"/>
        </w:rPr>
        <w:t xml:space="preserve">improperly recorded </w:t>
      </w:r>
      <w:r w:rsidR="009C4F0C" w:rsidRPr="00CF5BAB">
        <w:rPr>
          <w:rFonts w:ascii="Verdana" w:hAnsi="Verdana"/>
          <w:sz w:val="24"/>
          <w:szCs w:val="23"/>
        </w:rPr>
        <w:t xml:space="preserve">$1.2 billion </w:t>
      </w:r>
      <w:r w:rsidR="007813FA" w:rsidRPr="00CF5BAB">
        <w:rPr>
          <w:rFonts w:ascii="Verdana" w:hAnsi="Verdana"/>
          <w:sz w:val="24"/>
          <w:szCs w:val="23"/>
        </w:rPr>
        <w:t>note receivable</w:t>
      </w:r>
      <w:r w:rsidR="00D60BDE">
        <w:rPr>
          <w:rFonts w:ascii="Verdana" w:hAnsi="Verdana"/>
          <w:sz w:val="24"/>
          <w:szCs w:val="23"/>
        </w:rPr>
        <w:t>s</w:t>
      </w:r>
      <w:r w:rsidR="007813FA" w:rsidRPr="00CF5BAB">
        <w:rPr>
          <w:rFonts w:ascii="Verdana" w:hAnsi="Verdana"/>
          <w:sz w:val="24"/>
          <w:szCs w:val="23"/>
        </w:rPr>
        <w:t xml:space="preserve">.  These notes arose from </w:t>
      </w:r>
      <w:r w:rsidR="007813FA">
        <w:rPr>
          <w:rFonts w:ascii="Verdana" w:hAnsi="Verdana"/>
          <w:sz w:val="24"/>
          <w:szCs w:val="23"/>
        </w:rPr>
        <w:t>LJM2’s investments in “four SPEs known as Raptor I-IV</w:t>
      </w:r>
      <w:r w:rsidR="00810059">
        <w:rPr>
          <w:rFonts w:ascii="Verdana" w:hAnsi="Verdana"/>
          <w:sz w:val="24"/>
          <w:szCs w:val="23"/>
        </w:rPr>
        <w:t>” in</w:t>
      </w:r>
      <w:r w:rsidR="007813FA">
        <w:rPr>
          <w:rFonts w:ascii="Verdana" w:hAnsi="Verdana"/>
          <w:sz w:val="24"/>
          <w:szCs w:val="23"/>
        </w:rPr>
        <w:t xml:space="preserve"> which they </w:t>
      </w:r>
      <w:r w:rsidR="007813FA" w:rsidRPr="00CF5BAB">
        <w:rPr>
          <w:rFonts w:ascii="Verdana" w:hAnsi="Verdana"/>
          <w:sz w:val="24"/>
          <w:szCs w:val="23"/>
        </w:rPr>
        <w:t>promised to ante up some assets in the future for a</w:t>
      </w:r>
      <w:r w:rsidR="00D60BDE">
        <w:rPr>
          <w:rFonts w:ascii="Verdana" w:hAnsi="Verdana"/>
          <w:sz w:val="24"/>
          <w:szCs w:val="23"/>
        </w:rPr>
        <w:t xml:space="preserve"> current</w:t>
      </w:r>
      <w:r w:rsidR="007813FA" w:rsidRPr="00CF5BAB">
        <w:rPr>
          <w:rFonts w:ascii="Verdana" w:hAnsi="Verdana"/>
          <w:sz w:val="24"/>
          <w:szCs w:val="23"/>
        </w:rPr>
        <w:t xml:space="preserve"> equity claim in the limited partnership.  </w:t>
      </w:r>
      <w:r w:rsidR="00D60BDE">
        <w:rPr>
          <w:rFonts w:ascii="Verdana" w:hAnsi="Verdana"/>
          <w:sz w:val="24"/>
          <w:szCs w:val="23"/>
        </w:rPr>
        <w:t xml:space="preserve">Reporting </w:t>
      </w:r>
      <w:r w:rsidR="007813FA" w:rsidRPr="00CF5BAB">
        <w:rPr>
          <w:rFonts w:ascii="Verdana" w:hAnsi="Verdana"/>
          <w:sz w:val="24"/>
          <w:szCs w:val="23"/>
        </w:rPr>
        <w:t xml:space="preserve">these notes receivable as assets on the balance sheet, however, </w:t>
      </w:r>
      <w:r w:rsidR="007813FA">
        <w:rPr>
          <w:rFonts w:ascii="Verdana" w:hAnsi="Verdana"/>
          <w:sz w:val="24"/>
          <w:szCs w:val="23"/>
        </w:rPr>
        <w:t>wa</w:t>
      </w:r>
      <w:r w:rsidR="007813FA" w:rsidRPr="00CF5BAB">
        <w:rPr>
          <w:rFonts w:ascii="Verdana" w:hAnsi="Verdana"/>
          <w:sz w:val="24"/>
          <w:szCs w:val="23"/>
        </w:rPr>
        <w:t xml:space="preserve">s clearly a violation of generally accepted accounting principles.  Whenever there is subscribed stock for corporations or subscribed equity interests in partnerships, the SEC requires the subscription receivable to be reported as a contra stockholders’ equity account, i.e., it must be deducted from the enterprise’s stockholders’ equity.  The rationale for this regulation is that state laws generally do not require subscribed stockholders or subscribed partners to pay off the notes.  If these stockholders or partners do not pay off the note, state laws generally stipulate that they have no claims to the equity of the business.  Given these rules, Enron should not have reported the receivable on the asset side of the balance sheet.  Enron </w:t>
      </w:r>
      <w:r w:rsidR="007813FA">
        <w:rPr>
          <w:rFonts w:ascii="Verdana" w:hAnsi="Verdana"/>
          <w:sz w:val="24"/>
          <w:szCs w:val="23"/>
        </w:rPr>
        <w:t xml:space="preserve">actually </w:t>
      </w:r>
      <w:r w:rsidR="007813FA" w:rsidRPr="00CF5BAB">
        <w:rPr>
          <w:rFonts w:ascii="Verdana" w:hAnsi="Verdana"/>
          <w:sz w:val="24"/>
          <w:szCs w:val="23"/>
        </w:rPr>
        <w:t>corrected this irregularity in a public statement on October 16, 2001</w:t>
      </w:r>
      <w:r w:rsidR="007813FA">
        <w:rPr>
          <w:rFonts w:ascii="Verdana" w:hAnsi="Verdana"/>
          <w:sz w:val="24"/>
          <w:szCs w:val="23"/>
        </w:rPr>
        <w:t xml:space="preserve"> but discussed it more fully in the November 8 filing</w:t>
      </w:r>
      <w:r w:rsidR="007813FA" w:rsidRPr="00CF5BAB">
        <w:rPr>
          <w:rFonts w:ascii="Verdana" w:hAnsi="Verdana"/>
          <w:sz w:val="24"/>
          <w:szCs w:val="23"/>
        </w:rPr>
        <w:t>.</w:t>
      </w:r>
    </w:p>
    <w:p w:rsidR="00155BB2" w:rsidRDefault="00155BB2" w:rsidP="00CF5BAB">
      <w:pPr>
        <w:rPr>
          <w:rFonts w:ascii="Verdana" w:hAnsi="Verdana" w:cs="Arial"/>
          <w:sz w:val="24"/>
          <w:szCs w:val="24"/>
        </w:rPr>
      </w:pPr>
    </w:p>
    <w:p w:rsidR="00B26E87" w:rsidRPr="00090AC1" w:rsidRDefault="00B26E87" w:rsidP="00B26E87">
      <w:pPr>
        <w:rPr>
          <w:rFonts w:ascii="Verdana" w:hAnsi="Verdana" w:cs="Arial"/>
          <w:sz w:val="24"/>
          <w:szCs w:val="24"/>
        </w:rPr>
      </w:pPr>
      <w:r>
        <w:rPr>
          <w:rFonts w:ascii="Verdana" w:hAnsi="Verdana" w:cs="Arial"/>
          <w:sz w:val="24"/>
          <w:szCs w:val="24"/>
        </w:rPr>
        <w:t xml:space="preserve">Further, Enron entered into various energy contracts that were connected with these note receivables and “could have obligated Enron to issue Enron common stock in the future in exchange for notes receivable.”  </w:t>
      </w:r>
      <w:r w:rsidR="00090AC1">
        <w:rPr>
          <w:rFonts w:ascii="Verdana" w:hAnsi="Verdana" w:cs="Arial"/>
          <w:sz w:val="24"/>
          <w:szCs w:val="24"/>
        </w:rPr>
        <w:t>But, Enron did not apply fair value measurements to these energy contracts.</w:t>
      </w:r>
      <w:r w:rsidRPr="00CF5BAB">
        <w:rPr>
          <w:rFonts w:ascii="Verdana" w:hAnsi="Verdana"/>
          <w:sz w:val="24"/>
          <w:szCs w:val="23"/>
        </w:rPr>
        <w:t xml:space="preserve">  At the risk of oversimplifying the accounting, the rules require entities to report such contracts on the balance sheet at fair market value.  When the firm holds a long position in an energy contract and energy prices rise (fall), then the balance sheet reports these contracts at higher (lower) amounts and the unrealized gain (loss) is placed in the income statement.  The opposite is true when the company maintains a short position in the energy contract.  </w:t>
      </w:r>
      <w:r w:rsidR="00090AC1">
        <w:rPr>
          <w:rFonts w:ascii="Verdana" w:hAnsi="Verdana"/>
          <w:sz w:val="24"/>
          <w:szCs w:val="23"/>
        </w:rPr>
        <w:t>Enron then said it was recognizing a</w:t>
      </w:r>
      <w:r w:rsidRPr="00CF5BAB">
        <w:rPr>
          <w:rFonts w:ascii="Verdana" w:hAnsi="Verdana"/>
          <w:sz w:val="24"/>
          <w:szCs w:val="23"/>
        </w:rPr>
        <w:t xml:space="preserve"> $1 billion write</w:t>
      </w:r>
      <w:r w:rsidR="00AD1FD5">
        <w:rPr>
          <w:rFonts w:ascii="Verdana" w:hAnsi="Verdana"/>
          <w:sz w:val="24"/>
          <w:szCs w:val="23"/>
        </w:rPr>
        <w:t>-</w:t>
      </w:r>
      <w:r w:rsidRPr="00CF5BAB">
        <w:rPr>
          <w:rFonts w:ascii="Verdana" w:hAnsi="Verdana"/>
          <w:sz w:val="24"/>
          <w:szCs w:val="23"/>
        </w:rPr>
        <w:t xml:space="preserve">down in the third quarter of 2001 </w:t>
      </w:r>
      <w:r w:rsidR="00AD1FD5">
        <w:rPr>
          <w:rFonts w:ascii="Verdana" w:hAnsi="Verdana"/>
          <w:sz w:val="24"/>
          <w:szCs w:val="23"/>
        </w:rPr>
        <w:t>because of</w:t>
      </w:r>
      <w:r w:rsidRPr="00CF5BAB">
        <w:rPr>
          <w:rFonts w:ascii="Verdana" w:hAnsi="Verdana"/>
          <w:sz w:val="24"/>
          <w:szCs w:val="23"/>
        </w:rPr>
        <w:t xml:space="preserve"> its energy contracts.</w:t>
      </w:r>
    </w:p>
    <w:p w:rsidR="000258AA" w:rsidRDefault="000258AA" w:rsidP="00CF5BAB">
      <w:pPr>
        <w:rPr>
          <w:rFonts w:ascii="Verdana" w:hAnsi="Verdana" w:cs="Arial"/>
          <w:sz w:val="24"/>
          <w:szCs w:val="24"/>
        </w:rPr>
      </w:pPr>
    </w:p>
    <w:p w:rsidR="0038076D" w:rsidRDefault="00CF5BAB" w:rsidP="00CF5BAB">
      <w:pPr>
        <w:rPr>
          <w:rFonts w:ascii="Verdana" w:hAnsi="Verdana"/>
          <w:sz w:val="24"/>
          <w:szCs w:val="23"/>
        </w:rPr>
      </w:pPr>
      <w:r w:rsidRPr="00CF5BAB">
        <w:rPr>
          <w:rFonts w:ascii="Verdana" w:hAnsi="Verdana"/>
          <w:sz w:val="24"/>
          <w:szCs w:val="23"/>
        </w:rPr>
        <w:t xml:space="preserve">The net effect of these schemes is that Enron greatly underreported its debts and provided opaque disclosures about its business.  When the investments of Enron and its subsidiaries and its limited partnerships went south, the underreported assets evaporated, leaving only the underreported liabilities.  </w:t>
      </w:r>
      <w:r w:rsidR="0038076D">
        <w:rPr>
          <w:rFonts w:ascii="Verdana" w:hAnsi="Verdana"/>
          <w:sz w:val="24"/>
          <w:szCs w:val="23"/>
        </w:rPr>
        <w:t xml:space="preserve">It is not surprising that these many foolish </w:t>
      </w:r>
      <w:r w:rsidR="00810059">
        <w:rPr>
          <w:rFonts w:ascii="Verdana" w:hAnsi="Verdana"/>
          <w:sz w:val="24"/>
          <w:szCs w:val="23"/>
        </w:rPr>
        <w:t>transactions</w:t>
      </w:r>
      <w:r w:rsidR="0038076D">
        <w:rPr>
          <w:rFonts w:ascii="Verdana" w:hAnsi="Verdana"/>
          <w:sz w:val="24"/>
          <w:szCs w:val="23"/>
        </w:rPr>
        <w:t xml:space="preserve"> and </w:t>
      </w:r>
      <w:r w:rsidR="00810059">
        <w:rPr>
          <w:rFonts w:ascii="Verdana" w:hAnsi="Verdana"/>
          <w:sz w:val="24"/>
          <w:szCs w:val="23"/>
        </w:rPr>
        <w:t>unconscionable</w:t>
      </w:r>
      <w:r w:rsidR="0038076D">
        <w:rPr>
          <w:rFonts w:ascii="Verdana" w:hAnsi="Verdana"/>
          <w:sz w:val="24"/>
          <w:szCs w:val="23"/>
        </w:rPr>
        <w:t xml:space="preserve"> shenanigans </w:t>
      </w:r>
      <w:r w:rsidR="00D60BDE">
        <w:rPr>
          <w:rFonts w:ascii="Verdana" w:hAnsi="Verdana"/>
          <w:sz w:val="24"/>
          <w:szCs w:val="23"/>
        </w:rPr>
        <w:t xml:space="preserve">led </w:t>
      </w:r>
      <w:r w:rsidR="0038076D">
        <w:rPr>
          <w:rFonts w:ascii="Verdana" w:hAnsi="Verdana"/>
          <w:sz w:val="24"/>
          <w:szCs w:val="23"/>
        </w:rPr>
        <w:t xml:space="preserve">the </w:t>
      </w:r>
      <w:r w:rsidR="00D60BDE">
        <w:rPr>
          <w:rFonts w:ascii="Verdana" w:hAnsi="Verdana"/>
          <w:sz w:val="24"/>
          <w:szCs w:val="23"/>
        </w:rPr>
        <w:t xml:space="preserve">Company to </w:t>
      </w:r>
      <w:r w:rsidR="0038076D">
        <w:rPr>
          <w:rFonts w:ascii="Verdana" w:hAnsi="Verdana"/>
          <w:sz w:val="24"/>
          <w:szCs w:val="23"/>
        </w:rPr>
        <w:t>bankruptcy on</w:t>
      </w:r>
      <w:r w:rsidRPr="00CF5BAB">
        <w:rPr>
          <w:rFonts w:ascii="Verdana" w:hAnsi="Verdana"/>
          <w:sz w:val="24"/>
          <w:szCs w:val="23"/>
        </w:rPr>
        <w:t xml:space="preserve"> December 2</w:t>
      </w:r>
      <w:r w:rsidR="00AD1FD5">
        <w:rPr>
          <w:rFonts w:ascii="Verdana" w:hAnsi="Verdana"/>
          <w:sz w:val="24"/>
          <w:szCs w:val="23"/>
        </w:rPr>
        <w:t>, 2001</w:t>
      </w:r>
      <w:r w:rsidRPr="00CF5BAB">
        <w:rPr>
          <w:rFonts w:ascii="Verdana" w:hAnsi="Verdana"/>
          <w:sz w:val="24"/>
          <w:szCs w:val="23"/>
        </w:rPr>
        <w:t>.</w:t>
      </w:r>
    </w:p>
    <w:p w:rsidR="0038076D" w:rsidRDefault="0038076D" w:rsidP="00CF5BAB">
      <w:pPr>
        <w:rPr>
          <w:rFonts w:ascii="Verdana" w:hAnsi="Verdana"/>
          <w:sz w:val="24"/>
          <w:szCs w:val="23"/>
        </w:rPr>
      </w:pPr>
    </w:p>
    <w:p w:rsidR="00CF5BAB" w:rsidRPr="00CF5BAB" w:rsidRDefault="00CF5BAB" w:rsidP="00CF5BAB">
      <w:pPr>
        <w:rPr>
          <w:rFonts w:ascii="Verdana" w:hAnsi="Verdana"/>
          <w:sz w:val="24"/>
          <w:szCs w:val="23"/>
        </w:rPr>
      </w:pPr>
      <w:r w:rsidRPr="00CF5BAB">
        <w:rPr>
          <w:rFonts w:ascii="Verdana" w:hAnsi="Verdana"/>
          <w:sz w:val="24"/>
          <w:szCs w:val="23"/>
        </w:rPr>
        <w:t xml:space="preserve">Enron’s managers duped the rest of us.  </w:t>
      </w:r>
      <w:r w:rsidR="0038076D">
        <w:rPr>
          <w:rFonts w:ascii="Verdana" w:hAnsi="Verdana"/>
          <w:sz w:val="24"/>
          <w:szCs w:val="23"/>
        </w:rPr>
        <w:t>How and why the auditors, the board of directors, and credit rating agencies failed to protect the investment community is still debated today.  What is clear is that we probably are no better off than we were then.  Yes, we have Sarbanes-Oxley, but what of it?  We also have endured a bank</w:t>
      </w:r>
      <w:r w:rsidR="00D60BDE">
        <w:rPr>
          <w:rFonts w:ascii="Verdana" w:hAnsi="Verdana"/>
          <w:sz w:val="24"/>
          <w:szCs w:val="23"/>
        </w:rPr>
        <w:t>ing</w:t>
      </w:r>
      <w:r w:rsidR="0038076D">
        <w:rPr>
          <w:rFonts w:ascii="Verdana" w:hAnsi="Verdana"/>
          <w:sz w:val="24"/>
          <w:szCs w:val="23"/>
        </w:rPr>
        <w:t xml:space="preserve"> crisis that Sarbanes-Oxley was supposed to circumvent.  Dodd-Frank likely will prove just as ineffective.</w:t>
      </w:r>
    </w:p>
    <w:p w:rsidR="00CF5BAB" w:rsidRPr="00CF5BAB" w:rsidRDefault="00CF5BAB" w:rsidP="00CF5BAB">
      <w:pPr>
        <w:rPr>
          <w:rFonts w:ascii="Verdana" w:hAnsi="Verdana"/>
          <w:sz w:val="24"/>
          <w:szCs w:val="23"/>
        </w:rPr>
      </w:pPr>
    </w:p>
    <w:p w:rsidR="00CF5BAB" w:rsidRDefault="00CF5BAB" w:rsidP="00CF5BAB">
      <w:pPr>
        <w:rPr>
          <w:rFonts w:ascii="Verdana" w:hAnsi="Verdana" w:cs="Arial"/>
          <w:sz w:val="24"/>
          <w:szCs w:val="24"/>
        </w:rPr>
      </w:pPr>
    </w:p>
    <w:p w:rsidR="00810059" w:rsidRDefault="00810059" w:rsidP="00CF5BAB">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5C2606"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22365"/>
    <w:rsid w:val="000258AA"/>
    <w:rsid w:val="00032D82"/>
    <w:rsid w:val="000374C2"/>
    <w:rsid w:val="0008099E"/>
    <w:rsid w:val="00081916"/>
    <w:rsid w:val="0008518C"/>
    <w:rsid w:val="00090AC1"/>
    <w:rsid w:val="00093316"/>
    <w:rsid w:val="000A52AA"/>
    <w:rsid w:val="000A6892"/>
    <w:rsid w:val="000C0DAE"/>
    <w:rsid w:val="000D4A3E"/>
    <w:rsid w:val="000E24F1"/>
    <w:rsid w:val="000E2E4F"/>
    <w:rsid w:val="001052EF"/>
    <w:rsid w:val="00120871"/>
    <w:rsid w:val="00155BB2"/>
    <w:rsid w:val="00166500"/>
    <w:rsid w:val="00171B42"/>
    <w:rsid w:val="001823C4"/>
    <w:rsid w:val="00194718"/>
    <w:rsid w:val="001978FB"/>
    <w:rsid w:val="001A35D6"/>
    <w:rsid w:val="001A523B"/>
    <w:rsid w:val="001A5685"/>
    <w:rsid w:val="001A63DD"/>
    <w:rsid w:val="001A6899"/>
    <w:rsid w:val="001C3948"/>
    <w:rsid w:val="001C5C9F"/>
    <w:rsid w:val="001D3448"/>
    <w:rsid w:val="00203AEE"/>
    <w:rsid w:val="00215FD8"/>
    <w:rsid w:val="002254DA"/>
    <w:rsid w:val="00283D98"/>
    <w:rsid w:val="00285D9E"/>
    <w:rsid w:val="002A35CE"/>
    <w:rsid w:val="002B0A9D"/>
    <w:rsid w:val="002B126B"/>
    <w:rsid w:val="002B29A5"/>
    <w:rsid w:val="002D729F"/>
    <w:rsid w:val="002F77E2"/>
    <w:rsid w:val="00316C9F"/>
    <w:rsid w:val="00316FA9"/>
    <w:rsid w:val="003259CE"/>
    <w:rsid w:val="00360939"/>
    <w:rsid w:val="003643E1"/>
    <w:rsid w:val="0038076D"/>
    <w:rsid w:val="003831FA"/>
    <w:rsid w:val="00383ECD"/>
    <w:rsid w:val="00387AD3"/>
    <w:rsid w:val="0039366C"/>
    <w:rsid w:val="00394F33"/>
    <w:rsid w:val="003A627B"/>
    <w:rsid w:val="003B6939"/>
    <w:rsid w:val="003C370E"/>
    <w:rsid w:val="003F6FEC"/>
    <w:rsid w:val="00432835"/>
    <w:rsid w:val="00441449"/>
    <w:rsid w:val="004534FA"/>
    <w:rsid w:val="00465E6E"/>
    <w:rsid w:val="00471A13"/>
    <w:rsid w:val="004D6BFC"/>
    <w:rsid w:val="004E7B9C"/>
    <w:rsid w:val="0050716A"/>
    <w:rsid w:val="005134AD"/>
    <w:rsid w:val="00547265"/>
    <w:rsid w:val="005679C2"/>
    <w:rsid w:val="005877D3"/>
    <w:rsid w:val="005B7BA1"/>
    <w:rsid w:val="005C2606"/>
    <w:rsid w:val="005C7FC3"/>
    <w:rsid w:val="00606C8D"/>
    <w:rsid w:val="00626CA8"/>
    <w:rsid w:val="00654AEE"/>
    <w:rsid w:val="00691BBD"/>
    <w:rsid w:val="00692519"/>
    <w:rsid w:val="00693B96"/>
    <w:rsid w:val="006A7CF1"/>
    <w:rsid w:val="006B5167"/>
    <w:rsid w:val="006C54E1"/>
    <w:rsid w:val="00701811"/>
    <w:rsid w:val="007069CC"/>
    <w:rsid w:val="007302E2"/>
    <w:rsid w:val="007310E9"/>
    <w:rsid w:val="00733070"/>
    <w:rsid w:val="00734082"/>
    <w:rsid w:val="00741CC4"/>
    <w:rsid w:val="00752D20"/>
    <w:rsid w:val="0075714F"/>
    <w:rsid w:val="00762F72"/>
    <w:rsid w:val="007716C8"/>
    <w:rsid w:val="007813FA"/>
    <w:rsid w:val="00790B7F"/>
    <w:rsid w:val="007935E9"/>
    <w:rsid w:val="00795EDC"/>
    <w:rsid w:val="007A54C7"/>
    <w:rsid w:val="007B55DD"/>
    <w:rsid w:val="007D30EB"/>
    <w:rsid w:val="007E274D"/>
    <w:rsid w:val="00810059"/>
    <w:rsid w:val="00825D4D"/>
    <w:rsid w:val="00830A0B"/>
    <w:rsid w:val="00834103"/>
    <w:rsid w:val="008459E5"/>
    <w:rsid w:val="00847F54"/>
    <w:rsid w:val="00874083"/>
    <w:rsid w:val="00885921"/>
    <w:rsid w:val="0088667D"/>
    <w:rsid w:val="00887651"/>
    <w:rsid w:val="008D0071"/>
    <w:rsid w:val="008D2071"/>
    <w:rsid w:val="008D35F7"/>
    <w:rsid w:val="00911793"/>
    <w:rsid w:val="00952126"/>
    <w:rsid w:val="009552D6"/>
    <w:rsid w:val="00965668"/>
    <w:rsid w:val="00974768"/>
    <w:rsid w:val="00980419"/>
    <w:rsid w:val="009900E1"/>
    <w:rsid w:val="009A0991"/>
    <w:rsid w:val="009A26FD"/>
    <w:rsid w:val="009C4F0C"/>
    <w:rsid w:val="009D25AA"/>
    <w:rsid w:val="009F5179"/>
    <w:rsid w:val="00A02E34"/>
    <w:rsid w:val="00A11437"/>
    <w:rsid w:val="00A2604A"/>
    <w:rsid w:val="00A501CA"/>
    <w:rsid w:val="00A56122"/>
    <w:rsid w:val="00A623DC"/>
    <w:rsid w:val="00AB5DEF"/>
    <w:rsid w:val="00AC081E"/>
    <w:rsid w:val="00AD1FD5"/>
    <w:rsid w:val="00AE449D"/>
    <w:rsid w:val="00AE44C0"/>
    <w:rsid w:val="00AE7616"/>
    <w:rsid w:val="00AF570D"/>
    <w:rsid w:val="00B01975"/>
    <w:rsid w:val="00B20912"/>
    <w:rsid w:val="00B22B1B"/>
    <w:rsid w:val="00B26E87"/>
    <w:rsid w:val="00B7722F"/>
    <w:rsid w:val="00B91C46"/>
    <w:rsid w:val="00BA0BB6"/>
    <w:rsid w:val="00BB6235"/>
    <w:rsid w:val="00BC1DB8"/>
    <w:rsid w:val="00BD1C30"/>
    <w:rsid w:val="00BD4859"/>
    <w:rsid w:val="00BF4CC9"/>
    <w:rsid w:val="00BF663F"/>
    <w:rsid w:val="00C02A18"/>
    <w:rsid w:val="00C0326A"/>
    <w:rsid w:val="00C04A39"/>
    <w:rsid w:val="00C06C9A"/>
    <w:rsid w:val="00C14B68"/>
    <w:rsid w:val="00C17B64"/>
    <w:rsid w:val="00C25606"/>
    <w:rsid w:val="00C40DDB"/>
    <w:rsid w:val="00C40F1B"/>
    <w:rsid w:val="00C7386E"/>
    <w:rsid w:val="00C83508"/>
    <w:rsid w:val="00C86325"/>
    <w:rsid w:val="00CA4259"/>
    <w:rsid w:val="00CA5C57"/>
    <w:rsid w:val="00CB7C9F"/>
    <w:rsid w:val="00CB7FD0"/>
    <w:rsid w:val="00CD0E7F"/>
    <w:rsid w:val="00CF567E"/>
    <w:rsid w:val="00CF5BAB"/>
    <w:rsid w:val="00D005BC"/>
    <w:rsid w:val="00D04C30"/>
    <w:rsid w:val="00D10237"/>
    <w:rsid w:val="00D15B07"/>
    <w:rsid w:val="00D3261B"/>
    <w:rsid w:val="00D54EF4"/>
    <w:rsid w:val="00D552C9"/>
    <w:rsid w:val="00D60BDE"/>
    <w:rsid w:val="00D96CB6"/>
    <w:rsid w:val="00DC6A24"/>
    <w:rsid w:val="00DD013B"/>
    <w:rsid w:val="00DE78D3"/>
    <w:rsid w:val="00DF0BCE"/>
    <w:rsid w:val="00E0278C"/>
    <w:rsid w:val="00E0530E"/>
    <w:rsid w:val="00E1136A"/>
    <w:rsid w:val="00E17C3D"/>
    <w:rsid w:val="00E17CF2"/>
    <w:rsid w:val="00E318EE"/>
    <w:rsid w:val="00E402FC"/>
    <w:rsid w:val="00E4263F"/>
    <w:rsid w:val="00E656F7"/>
    <w:rsid w:val="00E6651F"/>
    <w:rsid w:val="00E77A3A"/>
    <w:rsid w:val="00E81155"/>
    <w:rsid w:val="00E85DCF"/>
    <w:rsid w:val="00E85FC4"/>
    <w:rsid w:val="00EA73DD"/>
    <w:rsid w:val="00EC101E"/>
    <w:rsid w:val="00ED3830"/>
    <w:rsid w:val="00EE6A29"/>
    <w:rsid w:val="00EF3CB2"/>
    <w:rsid w:val="00F0140C"/>
    <w:rsid w:val="00F34F2C"/>
    <w:rsid w:val="00F37BB7"/>
    <w:rsid w:val="00F7237C"/>
    <w:rsid w:val="00F77626"/>
    <w:rsid w:val="00F8568F"/>
    <w:rsid w:val="00F95297"/>
    <w:rsid w:val="00FA305E"/>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b.org/cs/BlobServer?blobcol=urldata&amp;blobtable=MungoBlobs&amp;blobkey=id&amp;blobwhere=1175820913888&amp;blobheader=application%2Fpdf" TargetMode="External"/><Relationship Id="rId5" Type="http://schemas.openxmlformats.org/officeDocument/2006/relationships/hyperlink" Target="http://www.sec.gov/Archives/edgar/data/1024401/000095012901503835/h91831e8-k.t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Catanach</dc:creator>
  <cp:lastModifiedBy>Ed Ketz</cp:lastModifiedBy>
  <cp:revision>7</cp:revision>
  <cp:lastPrinted>2011-08-13T14:23:00Z</cp:lastPrinted>
  <dcterms:created xsi:type="dcterms:W3CDTF">2011-10-17T18:55:00Z</dcterms:created>
  <dcterms:modified xsi:type="dcterms:W3CDTF">2011-10-28T18:15:00Z</dcterms:modified>
</cp:coreProperties>
</file>