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00285F" w:rsidP="00E81155">
      <w:pPr>
        <w:rPr>
          <w:rFonts w:ascii="Arial" w:hAnsi="Arial" w:cs="Arial"/>
          <w:b/>
          <w:sz w:val="28"/>
          <w:szCs w:val="28"/>
        </w:rPr>
      </w:pPr>
      <w:r>
        <w:rPr>
          <w:rFonts w:ascii="Arial" w:hAnsi="Arial" w:cs="Arial"/>
          <w:b/>
          <w:sz w:val="28"/>
          <w:szCs w:val="28"/>
        </w:rPr>
        <w:t>BIG 4 AUDITS: A THING OF THE PAST?</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080D90">
        <w:rPr>
          <w:rFonts w:ascii="Arial" w:hAnsi="Arial" w:cs="Arial"/>
          <w:b/>
          <w:i/>
          <w:sz w:val="24"/>
          <w:szCs w:val="24"/>
        </w:rPr>
        <w:t xml:space="preserve">October </w:t>
      </w:r>
      <w:r>
        <w:rPr>
          <w:rFonts w:ascii="Arial" w:hAnsi="Arial" w:cs="Arial"/>
          <w:b/>
          <w:i/>
          <w:sz w:val="24"/>
          <w:szCs w:val="24"/>
        </w:rPr>
        <w:t>2011</w:t>
      </w:r>
    </w:p>
    <w:p w:rsidR="0050716A" w:rsidRDefault="0050716A" w:rsidP="00D7299A">
      <w:pPr>
        <w:rPr>
          <w:rFonts w:ascii="Verdana" w:hAnsi="Verdana"/>
          <w:sz w:val="24"/>
          <w:szCs w:val="24"/>
        </w:rPr>
      </w:pPr>
    </w:p>
    <w:p w:rsidR="00ED5DE9" w:rsidRDefault="0054490C" w:rsidP="00941068">
      <w:pPr>
        <w:rPr>
          <w:rFonts w:ascii="Verdana" w:hAnsi="Verdana"/>
          <w:sz w:val="24"/>
          <w:szCs w:val="24"/>
        </w:rPr>
      </w:pPr>
      <w:r>
        <w:rPr>
          <w:rFonts w:ascii="Verdana" w:hAnsi="Verdana"/>
          <w:sz w:val="24"/>
          <w:szCs w:val="24"/>
        </w:rPr>
        <w:t>As the Public Company Accounting Oversight Board considers</w:t>
      </w:r>
      <w:r w:rsidR="00ED5DE9">
        <w:rPr>
          <w:rFonts w:ascii="Verdana" w:hAnsi="Verdana"/>
          <w:sz w:val="24"/>
          <w:szCs w:val="24"/>
        </w:rPr>
        <w:t xml:space="preserve"> </w:t>
      </w:r>
      <w:hyperlink r:id="rId5" w:history="1">
        <w:r w:rsidR="00ED5DE9" w:rsidRPr="0054490C">
          <w:rPr>
            <w:rStyle w:val="Hyperlink"/>
            <w:rFonts w:ascii="Verdana" w:hAnsi="Verdana"/>
            <w:sz w:val="24"/>
            <w:szCs w:val="24"/>
          </w:rPr>
          <w:t xml:space="preserve">changes </w:t>
        </w:r>
        <w:r w:rsidRPr="0054490C">
          <w:rPr>
            <w:rStyle w:val="Hyperlink"/>
            <w:rFonts w:ascii="Verdana" w:hAnsi="Verdana"/>
            <w:sz w:val="24"/>
            <w:szCs w:val="24"/>
          </w:rPr>
          <w:t>to the audit reporting model</w:t>
        </w:r>
      </w:hyperlink>
      <w:r>
        <w:rPr>
          <w:rFonts w:ascii="Verdana" w:hAnsi="Verdana"/>
          <w:sz w:val="24"/>
          <w:szCs w:val="24"/>
        </w:rPr>
        <w:t xml:space="preserve">, </w:t>
      </w:r>
      <w:r w:rsidR="00ED5DE9">
        <w:rPr>
          <w:rFonts w:ascii="Verdana" w:hAnsi="Verdana"/>
          <w:sz w:val="24"/>
          <w:szCs w:val="24"/>
        </w:rPr>
        <w:t>we must ask</w:t>
      </w:r>
      <w:r>
        <w:rPr>
          <w:rFonts w:ascii="Verdana" w:hAnsi="Verdana"/>
          <w:sz w:val="24"/>
          <w:szCs w:val="24"/>
        </w:rPr>
        <w:t xml:space="preserve">: </w:t>
      </w:r>
      <w:r w:rsidRPr="0054490C">
        <w:rPr>
          <w:rFonts w:ascii="Verdana" w:hAnsi="Verdana"/>
          <w:i/>
          <w:sz w:val="24"/>
          <w:szCs w:val="24"/>
        </w:rPr>
        <w:t xml:space="preserve">is </w:t>
      </w:r>
      <w:r w:rsidR="00ED5DE9" w:rsidRPr="0054490C">
        <w:rPr>
          <w:rFonts w:ascii="Verdana" w:hAnsi="Verdana"/>
          <w:i/>
          <w:sz w:val="24"/>
          <w:szCs w:val="24"/>
        </w:rPr>
        <w:t>the report really the proble</w:t>
      </w:r>
      <w:r w:rsidRPr="0054490C">
        <w:rPr>
          <w:rFonts w:ascii="Verdana" w:hAnsi="Verdana"/>
          <w:i/>
          <w:sz w:val="24"/>
          <w:szCs w:val="24"/>
        </w:rPr>
        <w:t xml:space="preserve">m, or </w:t>
      </w:r>
      <w:r>
        <w:rPr>
          <w:rFonts w:ascii="Verdana" w:hAnsi="Verdana"/>
          <w:i/>
          <w:sz w:val="24"/>
          <w:szCs w:val="24"/>
        </w:rPr>
        <w:t xml:space="preserve">is it </w:t>
      </w:r>
      <w:r w:rsidRPr="0054490C">
        <w:rPr>
          <w:rFonts w:ascii="Verdana" w:hAnsi="Verdana"/>
          <w:i/>
          <w:sz w:val="24"/>
          <w:szCs w:val="24"/>
        </w:rPr>
        <w:t>the audit behind that report.</w:t>
      </w:r>
    </w:p>
    <w:p w:rsidR="00ED5DE9" w:rsidRDefault="00ED5DE9" w:rsidP="00941068">
      <w:pPr>
        <w:rPr>
          <w:rFonts w:ascii="Verdana" w:hAnsi="Verdana"/>
          <w:sz w:val="24"/>
          <w:szCs w:val="24"/>
        </w:rPr>
      </w:pPr>
    </w:p>
    <w:p w:rsidR="00101329" w:rsidRDefault="00142392" w:rsidP="00941068">
      <w:pPr>
        <w:rPr>
          <w:rFonts w:ascii="Verdana" w:hAnsi="Verdana"/>
          <w:sz w:val="24"/>
          <w:szCs w:val="24"/>
        </w:rPr>
      </w:pPr>
      <w:r>
        <w:rPr>
          <w:rFonts w:ascii="Verdana" w:hAnsi="Verdana"/>
          <w:sz w:val="24"/>
          <w:szCs w:val="24"/>
        </w:rPr>
        <w:t>T</w:t>
      </w:r>
      <w:r w:rsidR="00941068" w:rsidRPr="00941068">
        <w:rPr>
          <w:rFonts w:ascii="Verdana" w:hAnsi="Verdana"/>
          <w:sz w:val="24"/>
          <w:szCs w:val="24"/>
        </w:rPr>
        <w:t>he accountant’s job is not easy</w:t>
      </w:r>
      <w:r>
        <w:rPr>
          <w:rFonts w:ascii="Verdana" w:hAnsi="Verdana"/>
          <w:sz w:val="24"/>
          <w:szCs w:val="24"/>
        </w:rPr>
        <w:t>, and it’s even tougher in the largest accounting firms</w:t>
      </w:r>
      <w:r w:rsidR="00941068" w:rsidRPr="00941068">
        <w:rPr>
          <w:rFonts w:ascii="Verdana" w:hAnsi="Verdana"/>
          <w:sz w:val="24"/>
          <w:szCs w:val="24"/>
        </w:rPr>
        <w:t>.  The</w:t>
      </w:r>
      <w:r>
        <w:rPr>
          <w:rFonts w:ascii="Verdana" w:hAnsi="Verdana"/>
          <w:sz w:val="24"/>
          <w:szCs w:val="24"/>
        </w:rPr>
        <w:t xml:space="preserve"> “</w:t>
      </w:r>
      <w:r w:rsidR="00941068" w:rsidRPr="00941068">
        <w:rPr>
          <w:rFonts w:ascii="Verdana" w:hAnsi="Verdana"/>
          <w:sz w:val="24"/>
          <w:szCs w:val="24"/>
        </w:rPr>
        <w:t>up or out</w:t>
      </w:r>
      <w:r>
        <w:rPr>
          <w:rFonts w:ascii="Verdana" w:hAnsi="Verdana"/>
          <w:sz w:val="24"/>
          <w:szCs w:val="24"/>
        </w:rPr>
        <w:t>”</w:t>
      </w:r>
      <w:r w:rsidR="00941068" w:rsidRPr="00941068">
        <w:rPr>
          <w:rFonts w:ascii="Verdana" w:hAnsi="Verdana"/>
          <w:sz w:val="24"/>
          <w:szCs w:val="24"/>
        </w:rPr>
        <w:t xml:space="preserve"> promotion policy</w:t>
      </w:r>
      <w:r>
        <w:rPr>
          <w:rFonts w:ascii="Verdana" w:hAnsi="Verdana"/>
          <w:sz w:val="24"/>
          <w:szCs w:val="24"/>
        </w:rPr>
        <w:t xml:space="preserve"> in these firms creates huge </w:t>
      </w:r>
      <w:r w:rsidR="00941068" w:rsidRPr="00941068">
        <w:rPr>
          <w:rFonts w:ascii="Verdana" w:hAnsi="Verdana"/>
          <w:sz w:val="24"/>
          <w:szCs w:val="24"/>
        </w:rPr>
        <w:t>pressures for client development and retention</w:t>
      </w:r>
      <w:r>
        <w:rPr>
          <w:rFonts w:ascii="Verdana" w:hAnsi="Verdana"/>
          <w:sz w:val="24"/>
          <w:szCs w:val="24"/>
        </w:rPr>
        <w:t>, not to mention stresses to generate</w:t>
      </w:r>
      <w:r w:rsidR="00941068" w:rsidRPr="00941068">
        <w:rPr>
          <w:rFonts w:ascii="Verdana" w:hAnsi="Verdana"/>
          <w:sz w:val="24"/>
          <w:szCs w:val="24"/>
        </w:rPr>
        <w:t xml:space="preserve"> and maintain bonuses for managers and partners.  </w:t>
      </w:r>
      <w:r>
        <w:rPr>
          <w:rFonts w:ascii="Verdana" w:hAnsi="Verdana"/>
          <w:sz w:val="24"/>
          <w:szCs w:val="24"/>
        </w:rPr>
        <w:t xml:space="preserve">The result: major incentives for accountants to </w:t>
      </w:r>
      <w:r w:rsidR="00701F7E">
        <w:rPr>
          <w:rFonts w:ascii="Verdana" w:hAnsi="Verdana"/>
          <w:sz w:val="24"/>
          <w:szCs w:val="24"/>
        </w:rPr>
        <w:t>“bend” the rules for clients.</w:t>
      </w:r>
    </w:p>
    <w:p w:rsidR="00101329" w:rsidRDefault="00101329" w:rsidP="00941068">
      <w:pPr>
        <w:rPr>
          <w:rFonts w:ascii="Verdana" w:hAnsi="Verdana"/>
          <w:sz w:val="24"/>
          <w:szCs w:val="24"/>
        </w:rPr>
      </w:pPr>
    </w:p>
    <w:p w:rsidR="00701F7E" w:rsidRDefault="00701F7E" w:rsidP="00701F7E">
      <w:pPr>
        <w:rPr>
          <w:rFonts w:ascii="Verdana" w:hAnsi="Verdana"/>
          <w:sz w:val="24"/>
          <w:szCs w:val="24"/>
        </w:rPr>
      </w:pPr>
      <w:r>
        <w:rPr>
          <w:rFonts w:ascii="Verdana" w:hAnsi="Verdana"/>
          <w:sz w:val="24"/>
          <w:szCs w:val="24"/>
        </w:rPr>
        <w:t xml:space="preserve">Recently, we </w:t>
      </w:r>
      <w:r w:rsidRPr="00941068">
        <w:rPr>
          <w:rFonts w:ascii="Verdana" w:hAnsi="Verdana"/>
          <w:sz w:val="24"/>
          <w:szCs w:val="24"/>
        </w:rPr>
        <w:t xml:space="preserve">learned that </w:t>
      </w:r>
      <w:hyperlink r:id="rId6" w:history="1">
        <w:r w:rsidRPr="00ED5DE9">
          <w:rPr>
            <w:rStyle w:val="Hyperlink"/>
            <w:rFonts w:ascii="Verdana" w:hAnsi="Verdana"/>
            <w:sz w:val="24"/>
            <w:szCs w:val="24"/>
          </w:rPr>
          <w:t>KPMG let Motorola record revenue</w:t>
        </w:r>
      </w:hyperlink>
      <w:r w:rsidRPr="00941068">
        <w:rPr>
          <w:rFonts w:ascii="Verdana" w:hAnsi="Verdana"/>
          <w:sz w:val="24"/>
          <w:szCs w:val="24"/>
        </w:rPr>
        <w:t xml:space="preserve"> in the third quarter of 2006 even though the contract that originated the sale was not signed until the early hours of the 4th quarter.  Without the deal, Motorola would have missed its third-quarter earnings target.</w:t>
      </w:r>
    </w:p>
    <w:p w:rsidR="00701F7E" w:rsidRPr="00941068" w:rsidRDefault="00701F7E" w:rsidP="00701F7E">
      <w:pPr>
        <w:rPr>
          <w:rFonts w:ascii="Verdana" w:hAnsi="Verdana"/>
          <w:sz w:val="24"/>
          <w:szCs w:val="24"/>
        </w:rPr>
      </w:pPr>
    </w:p>
    <w:p w:rsidR="00941068" w:rsidRPr="00941068" w:rsidRDefault="00701F7E" w:rsidP="00941068">
      <w:pPr>
        <w:rPr>
          <w:rFonts w:ascii="Verdana" w:hAnsi="Verdana"/>
          <w:sz w:val="24"/>
          <w:szCs w:val="24"/>
        </w:rPr>
      </w:pPr>
      <w:r>
        <w:rPr>
          <w:rFonts w:ascii="Verdana" w:hAnsi="Verdana"/>
          <w:sz w:val="24"/>
          <w:szCs w:val="24"/>
        </w:rPr>
        <w:t xml:space="preserve">As we learn more about the large accounting firms’ role in the </w:t>
      </w:r>
      <w:r w:rsidR="00941068" w:rsidRPr="00941068">
        <w:rPr>
          <w:rFonts w:ascii="Verdana" w:hAnsi="Verdana"/>
          <w:sz w:val="24"/>
          <w:szCs w:val="24"/>
        </w:rPr>
        <w:t>financial crisis of 2008</w:t>
      </w:r>
      <w:r>
        <w:rPr>
          <w:rFonts w:ascii="Verdana" w:hAnsi="Verdana"/>
          <w:sz w:val="24"/>
          <w:szCs w:val="24"/>
        </w:rPr>
        <w:t>, the news is not good:</w:t>
      </w:r>
      <w:r w:rsidR="00937477">
        <w:rPr>
          <w:rFonts w:ascii="Verdana" w:hAnsi="Verdana"/>
          <w:sz w:val="24"/>
          <w:szCs w:val="24"/>
        </w:rPr>
        <w:br/>
      </w:r>
    </w:p>
    <w:p w:rsidR="00941068" w:rsidRPr="00937477" w:rsidRDefault="00701F7E" w:rsidP="00937477">
      <w:pPr>
        <w:pStyle w:val="ListParagraph"/>
        <w:numPr>
          <w:ilvl w:val="0"/>
          <w:numId w:val="13"/>
        </w:numPr>
        <w:rPr>
          <w:rFonts w:ascii="Verdana" w:hAnsi="Verdana"/>
          <w:sz w:val="24"/>
          <w:szCs w:val="24"/>
        </w:rPr>
      </w:pPr>
      <w:r>
        <w:rPr>
          <w:rFonts w:ascii="Verdana" w:hAnsi="Verdana"/>
          <w:sz w:val="24"/>
          <w:szCs w:val="24"/>
        </w:rPr>
        <w:t>A</w:t>
      </w:r>
      <w:r w:rsidR="00941068" w:rsidRPr="00937477">
        <w:rPr>
          <w:rFonts w:ascii="Verdana" w:hAnsi="Verdana"/>
          <w:sz w:val="24"/>
          <w:szCs w:val="24"/>
        </w:rPr>
        <w:t xml:space="preserve"> </w:t>
      </w:r>
      <w:hyperlink r:id="rId7" w:history="1">
        <w:r w:rsidR="00941068" w:rsidRPr="00ED5DE9">
          <w:rPr>
            <w:rStyle w:val="Hyperlink"/>
            <w:rFonts w:ascii="Verdana" w:hAnsi="Verdana"/>
            <w:sz w:val="24"/>
            <w:szCs w:val="24"/>
          </w:rPr>
          <w:t>KPMG audit partner</w:t>
        </w:r>
      </w:hyperlink>
      <w:r w:rsidR="00941068" w:rsidRPr="00937477">
        <w:rPr>
          <w:rFonts w:ascii="Verdana" w:hAnsi="Verdana"/>
          <w:sz w:val="24"/>
          <w:szCs w:val="24"/>
        </w:rPr>
        <w:t xml:space="preserve"> </w:t>
      </w:r>
      <w:r w:rsidR="00937477">
        <w:rPr>
          <w:rFonts w:ascii="Verdana" w:hAnsi="Verdana"/>
          <w:sz w:val="24"/>
          <w:szCs w:val="24"/>
        </w:rPr>
        <w:t xml:space="preserve">apparently </w:t>
      </w:r>
      <w:r w:rsidR="00941068" w:rsidRPr="00937477">
        <w:rPr>
          <w:rFonts w:ascii="Verdana" w:hAnsi="Verdana"/>
          <w:sz w:val="24"/>
          <w:szCs w:val="24"/>
        </w:rPr>
        <w:t xml:space="preserve">ignored </w:t>
      </w:r>
      <w:r w:rsidR="00937477">
        <w:rPr>
          <w:rFonts w:ascii="Verdana" w:hAnsi="Verdana"/>
          <w:sz w:val="24"/>
          <w:szCs w:val="24"/>
        </w:rPr>
        <w:t xml:space="preserve">bank </w:t>
      </w:r>
      <w:r w:rsidR="00941068" w:rsidRPr="00937477">
        <w:rPr>
          <w:rFonts w:ascii="Verdana" w:hAnsi="Verdana"/>
          <w:sz w:val="24"/>
          <w:szCs w:val="24"/>
        </w:rPr>
        <w:t xml:space="preserve">regulatory reports </w:t>
      </w:r>
      <w:r w:rsidR="00937477">
        <w:rPr>
          <w:rFonts w:ascii="Verdana" w:hAnsi="Verdana"/>
          <w:sz w:val="24"/>
          <w:szCs w:val="24"/>
        </w:rPr>
        <w:t xml:space="preserve">in order </w:t>
      </w:r>
      <w:r w:rsidR="00941068" w:rsidRPr="00937477">
        <w:rPr>
          <w:rFonts w:ascii="Verdana" w:hAnsi="Verdana"/>
          <w:sz w:val="24"/>
          <w:szCs w:val="24"/>
        </w:rPr>
        <w:t>to give Citigroup clean inter</w:t>
      </w:r>
      <w:r w:rsidR="00937477">
        <w:rPr>
          <w:rFonts w:ascii="Verdana" w:hAnsi="Verdana"/>
          <w:sz w:val="24"/>
          <w:szCs w:val="24"/>
        </w:rPr>
        <w:t>nal control opinions</w:t>
      </w:r>
      <w:r w:rsidR="00941068" w:rsidRPr="00937477">
        <w:rPr>
          <w:rFonts w:ascii="Verdana" w:hAnsi="Verdana"/>
          <w:sz w:val="24"/>
          <w:szCs w:val="24"/>
        </w:rPr>
        <w:t>. KPMG issued a “clean” internal control report on Citicorp on February 22, 2008, despite the engagement partner’s knowledge on February 14, 2008 of material weaknesses found by bank exa</w:t>
      </w:r>
      <w:r w:rsidR="00937477">
        <w:rPr>
          <w:rFonts w:ascii="Verdana" w:hAnsi="Verdana"/>
          <w:sz w:val="24"/>
          <w:szCs w:val="24"/>
        </w:rPr>
        <w:t>miners.  We are anxious to see how KPMG explains this “oversight.”</w:t>
      </w:r>
      <w:r w:rsidR="00937477">
        <w:rPr>
          <w:rFonts w:ascii="Verdana" w:hAnsi="Verdana"/>
          <w:sz w:val="24"/>
          <w:szCs w:val="24"/>
        </w:rPr>
        <w:br/>
      </w:r>
    </w:p>
    <w:p w:rsidR="00701F7E" w:rsidRDefault="00941068" w:rsidP="00937477">
      <w:pPr>
        <w:pStyle w:val="ListParagraph"/>
        <w:numPr>
          <w:ilvl w:val="0"/>
          <w:numId w:val="13"/>
        </w:numPr>
        <w:rPr>
          <w:rFonts w:ascii="Verdana" w:hAnsi="Verdana"/>
          <w:sz w:val="24"/>
          <w:szCs w:val="24"/>
        </w:rPr>
      </w:pPr>
      <w:r w:rsidRPr="00937477">
        <w:rPr>
          <w:rFonts w:ascii="Verdana" w:hAnsi="Verdana"/>
          <w:sz w:val="24"/>
          <w:szCs w:val="24"/>
        </w:rPr>
        <w:t>Or h</w:t>
      </w:r>
      <w:r w:rsidR="00701F7E">
        <w:rPr>
          <w:rFonts w:ascii="Verdana" w:hAnsi="Verdana"/>
          <w:sz w:val="24"/>
          <w:szCs w:val="24"/>
        </w:rPr>
        <w:t xml:space="preserve">ow about the case of </w:t>
      </w:r>
      <w:hyperlink r:id="rId8" w:history="1">
        <w:r w:rsidR="00701F7E" w:rsidRPr="00ED5DE9">
          <w:rPr>
            <w:rStyle w:val="Hyperlink"/>
            <w:rFonts w:ascii="Verdana" w:hAnsi="Verdana"/>
            <w:sz w:val="24"/>
            <w:szCs w:val="24"/>
          </w:rPr>
          <w:t>Ernst &amp;</w:t>
        </w:r>
        <w:r w:rsidRPr="00ED5DE9">
          <w:rPr>
            <w:rStyle w:val="Hyperlink"/>
            <w:rFonts w:ascii="Verdana" w:hAnsi="Verdana"/>
            <w:sz w:val="24"/>
            <w:szCs w:val="24"/>
          </w:rPr>
          <w:t xml:space="preserve"> Young approving “Repo 105”</w:t>
        </w:r>
      </w:hyperlink>
      <w:r w:rsidRPr="00937477">
        <w:rPr>
          <w:rFonts w:ascii="Verdana" w:hAnsi="Verdana"/>
          <w:sz w:val="24"/>
          <w:szCs w:val="24"/>
        </w:rPr>
        <w:t xml:space="preserve"> transactions to ke</w:t>
      </w:r>
      <w:r w:rsidR="00937477">
        <w:rPr>
          <w:rFonts w:ascii="Verdana" w:hAnsi="Verdana"/>
          <w:sz w:val="24"/>
          <w:szCs w:val="24"/>
        </w:rPr>
        <w:t>ep debt of the books of Lehman B</w:t>
      </w:r>
      <w:r w:rsidRPr="00937477">
        <w:rPr>
          <w:rFonts w:ascii="Verdana" w:hAnsi="Verdana"/>
          <w:sz w:val="24"/>
          <w:szCs w:val="24"/>
        </w:rPr>
        <w:t>rothers right before the financial crisis started.</w:t>
      </w:r>
    </w:p>
    <w:p w:rsidR="00701F7E" w:rsidRDefault="00701F7E" w:rsidP="00701F7E">
      <w:pPr>
        <w:rPr>
          <w:rFonts w:ascii="Verdana" w:hAnsi="Verdana"/>
          <w:sz w:val="24"/>
          <w:szCs w:val="24"/>
        </w:rPr>
      </w:pPr>
    </w:p>
    <w:p w:rsidR="00941068" w:rsidRPr="00701F7E" w:rsidRDefault="00701F7E" w:rsidP="00701F7E">
      <w:pPr>
        <w:rPr>
          <w:rFonts w:ascii="Verdana" w:hAnsi="Verdana"/>
          <w:sz w:val="24"/>
          <w:szCs w:val="24"/>
        </w:rPr>
      </w:pPr>
      <w:r>
        <w:rPr>
          <w:rFonts w:ascii="Verdana" w:hAnsi="Verdana"/>
          <w:sz w:val="24"/>
          <w:szCs w:val="24"/>
        </w:rPr>
        <w:t xml:space="preserve">And even more recently, we have Ernst &amp; Young blessing Groupon’s aggressive “gross revenue” recognition policy despite its complete violation of generally accepted accounting principles.  Apparently, the Securities and Exchange Commission agreed with us (see </w:t>
      </w:r>
      <w:hyperlink r:id="rId9" w:history="1">
        <w:r w:rsidR="00ED5DE9" w:rsidRPr="003473CE">
          <w:rPr>
            <w:rStyle w:val="Hyperlink"/>
            <w:rFonts w:ascii="Verdana" w:hAnsi="Verdana"/>
            <w:sz w:val="24"/>
            <w:szCs w:val="24"/>
          </w:rPr>
          <w:t>Groupon Finally Restates Its Numbers</w:t>
        </w:r>
      </w:hyperlink>
      <w:r w:rsidR="007A3645">
        <w:rPr>
          <w:rFonts w:ascii="Verdana" w:hAnsi="Verdana"/>
          <w:sz w:val="24"/>
          <w:szCs w:val="24"/>
        </w:rPr>
        <w:t>), as they required Groupon to restate their financial statements for this “accounting error,” and amend their S-1 yet again.</w:t>
      </w:r>
      <w:r w:rsidR="00937477" w:rsidRPr="00701F7E">
        <w:rPr>
          <w:rFonts w:ascii="Verdana" w:hAnsi="Verdana"/>
          <w:sz w:val="24"/>
          <w:szCs w:val="24"/>
        </w:rPr>
        <w:br/>
      </w:r>
    </w:p>
    <w:p w:rsidR="00586757" w:rsidRDefault="007A3645" w:rsidP="00701F7E">
      <w:pPr>
        <w:rPr>
          <w:rFonts w:ascii="Verdana" w:hAnsi="Verdana"/>
          <w:sz w:val="24"/>
          <w:szCs w:val="24"/>
        </w:rPr>
      </w:pPr>
      <w:r>
        <w:rPr>
          <w:rFonts w:ascii="Verdana" w:hAnsi="Verdana"/>
          <w:sz w:val="24"/>
          <w:szCs w:val="24"/>
        </w:rPr>
        <w:t xml:space="preserve">All of these </w:t>
      </w:r>
      <w:r w:rsidR="00701F7E" w:rsidRPr="00941068">
        <w:rPr>
          <w:rFonts w:ascii="Verdana" w:hAnsi="Verdana"/>
          <w:sz w:val="24"/>
          <w:szCs w:val="24"/>
        </w:rPr>
        <w:t>are clear cases of “rule bending” to help the client!</w:t>
      </w:r>
      <w:r w:rsidR="00701F7E">
        <w:rPr>
          <w:rFonts w:ascii="Verdana" w:hAnsi="Verdana"/>
          <w:sz w:val="24"/>
          <w:szCs w:val="24"/>
        </w:rPr>
        <w:t xml:space="preserve">  </w:t>
      </w:r>
      <w:r>
        <w:rPr>
          <w:rFonts w:ascii="Verdana" w:hAnsi="Verdana"/>
          <w:sz w:val="24"/>
          <w:szCs w:val="24"/>
        </w:rPr>
        <w:t>Apparently</w:t>
      </w:r>
      <w:r w:rsidRPr="00941068">
        <w:rPr>
          <w:rFonts w:ascii="Verdana" w:hAnsi="Verdana"/>
          <w:sz w:val="24"/>
          <w:szCs w:val="24"/>
        </w:rPr>
        <w:t xml:space="preserve">, the new regulations put in place after Enron that were supposed to make it easier for accountants to do the right thing are not working. </w:t>
      </w:r>
      <w:r>
        <w:rPr>
          <w:rFonts w:ascii="Verdana" w:hAnsi="Verdana"/>
          <w:sz w:val="24"/>
          <w:szCs w:val="24"/>
        </w:rPr>
        <w:t xml:space="preserve"> Evidently, t</w:t>
      </w:r>
      <w:r w:rsidRPr="00941068">
        <w:rPr>
          <w:rFonts w:ascii="Verdana" w:hAnsi="Verdana"/>
          <w:sz w:val="24"/>
          <w:szCs w:val="24"/>
        </w:rPr>
        <w:t xml:space="preserve">hose laws </w:t>
      </w:r>
      <w:r>
        <w:rPr>
          <w:rFonts w:ascii="Verdana" w:hAnsi="Verdana"/>
          <w:sz w:val="24"/>
          <w:szCs w:val="24"/>
        </w:rPr>
        <w:t xml:space="preserve">just </w:t>
      </w:r>
      <w:r w:rsidRPr="00941068">
        <w:rPr>
          <w:rFonts w:ascii="Verdana" w:hAnsi="Verdana"/>
          <w:sz w:val="24"/>
          <w:szCs w:val="24"/>
        </w:rPr>
        <w:t>aren't tough enough</w:t>
      </w:r>
      <w:r>
        <w:rPr>
          <w:rFonts w:ascii="Verdana" w:hAnsi="Verdana"/>
          <w:sz w:val="24"/>
          <w:szCs w:val="24"/>
        </w:rPr>
        <w:t xml:space="preserve"> to deter large accounting firms from </w:t>
      </w:r>
      <w:r>
        <w:rPr>
          <w:rFonts w:ascii="Verdana" w:hAnsi="Verdana"/>
          <w:sz w:val="24"/>
          <w:szCs w:val="24"/>
        </w:rPr>
        <w:lastRenderedPageBreak/>
        <w:t>siding with their “paying” client, rather than their “real” client, the investing public</w:t>
      </w:r>
      <w:r w:rsidRPr="00941068">
        <w:rPr>
          <w:rFonts w:ascii="Verdana" w:hAnsi="Verdana"/>
          <w:sz w:val="24"/>
          <w:szCs w:val="24"/>
        </w:rPr>
        <w:t>.</w:t>
      </w:r>
      <w:r>
        <w:rPr>
          <w:rFonts w:ascii="Verdana" w:hAnsi="Verdana"/>
          <w:sz w:val="24"/>
          <w:szCs w:val="24"/>
        </w:rPr>
        <w:t xml:space="preserve">  </w:t>
      </w:r>
    </w:p>
    <w:p w:rsidR="00586757" w:rsidRDefault="00586757" w:rsidP="00701F7E">
      <w:pPr>
        <w:rPr>
          <w:rFonts w:ascii="Verdana" w:hAnsi="Verdana"/>
          <w:sz w:val="24"/>
          <w:szCs w:val="24"/>
        </w:rPr>
      </w:pPr>
    </w:p>
    <w:p w:rsidR="00941068" w:rsidRPr="00941068" w:rsidRDefault="00EA49F8" w:rsidP="00941068">
      <w:pPr>
        <w:rPr>
          <w:rFonts w:ascii="Verdana" w:hAnsi="Verdana"/>
          <w:sz w:val="24"/>
          <w:szCs w:val="24"/>
        </w:rPr>
      </w:pPr>
      <w:r>
        <w:rPr>
          <w:rFonts w:ascii="Verdana" w:hAnsi="Verdana"/>
          <w:sz w:val="24"/>
          <w:szCs w:val="24"/>
        </w:rPr>
        <w:t>Could i</w:t>
      </w:r>
      <w:r w:rsidR="00941068" w:rsidRPr="00941068">
        <w:rPr>
          <w:rFonts w:ascii="Verdana" w:hAnsi="Verdana"/>
          <w:sz w:val="24"/>
          <w:szCs w:val="24"/>
        </w:rPr>
        <w:t xml:space="preserve">nadequate governmental funding </w:t>
      </w:r>
      <w:r>
        <w:rPr>
          <w:rFonts w:ascii="Verdana" w:hAnsi="Verdana"/>
          <w:sz w:val="24"/>
          <w:szCs w:val="24"/>
        </w:rPr>
        <w:t xml:space="preserve">and political influence </w:t>
      </w:r>
      <w:r w:rsidR="00586757">
        <w:rPr>
          <w:rFonts w:ascii="Verdana" w:hAnsi="Verdana"/>
          <w:sz w:val="24"/>
          <w:szCs w:val="24"/>
        </w:rPr>
        <w:t>be exacerbating the problem</w:t>
      </w:r>
      <w:r>
        <w:rPr>
          <w:rFonts w:ascii="Verdana" w:hAnsi="Verdana"/>
          <w:sz w:val="24"/>
          <w:szCs w:val="24"/>
        </w:rPr>
        <w:t>?  Consider the following</w:t>
      </w:r>
      <w:r w:rsidR="00941068" w:rsidRPr="00941068">
        <w:rPr>
          <w:rFonts w:ascii="Verdana" w:hAnsi="Verdana"/>
          <w:sz w:val="24"/>
          <w:szCs w:val="24"/>
        </w:rPr>
        <w:t>:</w:t>
      </w:r>
      <w:r>
        <w:rPr>
          <w:rFonts w:ascii="Verdana" w:hAnsi="Verdana"/>
          <w:sz w:val="24"/>
          <w:szCs w:val="24"/>
        </w:rPr>
        <w:br/>
      </w:r>
    </w:p>
    <w:p w:rsidR="00EA49F8" w:rsidRDefault="00EA49F8" w:rsidP="00941068">
      <w:pPr>
        <w:pStyle w:val="ListParagraph"/>
        <w:numPr>
          <w:ilvl w:val="0"/>
          <w:numId w:val="14"/>
        </w:numPr>
        <w:rPr>
          <w:rFonts w:ascii="Verdana" w:hAnsi="Verdana"/>
          <w:sz w:val="24"/>
          <w:szCs w:val="24"/>
        </w:rPr>
      </w:pPr>
      <w:r>
        <w:rPr>
          <w:rFonts w:ascii="Verdana" w:hAnsi="Verdana"/>
          <w:sz w:val="24"/>
          <w:szCs w:val="24"/>
        </w:rPr>
        <w:t>Often, it takes two to three years for the SEC to review</w:t>
      </w:r>
      <w:r w:rsidR="003473CE">
        <w:rPr>
          <w:rFonts w:ascii="Verdana" w:hAnsi="Verdana"/>
          <w:sz w:val="24"/>
          <w:szCs w:val="24"/>
        </w:rPr>
        <w:t xml:space="preserve"> in detail</w:t>
      </w:r>
      <w:r>
        <w:rPr>
          <w:rFonts w:ascii="Verdana" w:hAnsi="Verdana"/>
          <w:sz w:val="24"/>
          <w:szCs w:val="24"/>
        </w:rPr>
        <w:t xml:space="preserve"> the</w:t>
      </w:r>
      <w:r w:rsidR="00941068" w:rsidRPr="00EA49F8">
        <w:rPr>
          <w:rFonts w:ascii="Verdana" w:hAnsi="Verdana"/>
          <w:sz w:val="24"/>
          <w:szCs w:val="24"/>
        </w:rPr>
        <w:t xml:space="preserve"> most </w:t>
      </w:r>
      <w:r>
        <w:rPr>
          <w:rFonts w:ascii="Verdana" w:hAnsi="Verdana"/>
          <w:sz w:val="24"/>
          <w:szCs w:val="24"/>
        </w:rPr>
        <w:t xml:space="preserve">recently filed financial statements of </w:t>
      </w:r>
      <w:r w:rsidR="00941068" w:rsidRPr="00EA49F8">
        <w:rPr>
          <w:rFonts w:ascii="Verdana" w:hAnsi="Verdana"/>
          <w:sz w:val="24"/>
          <w:szCs w:val="24"/>
        </w:rPr>
        <w:t>publicly traded companies.</w:t>
      </w:r>
      <w:r w:rsidR="0072762D">
        <w:rPr>
          <w:rFonts w:ascii="Verdana" w:hAnsi="Verdana"/>
          <w:sz w:val="24"/>
          <w:szCs w:val="24"/>
        </w:rPr>
        <w:t xml:space="preserve">  With limited resources, the regulators simply cannot keep pace with </w:t>
      </w:r>
      <w:r w:rsidR="003473CE">
        <w:rPr>
          <w:rFonts w:ascii="Verdana" w:hAnsi="Verdana"/>
          <w:sz w:val="24"/>
          <w:szCs w:val="24"/>
        </w:rPr>
        <w:t xml:space="preserve">the volumes of </w:t>
      </w:r>
      <w:r w:rsidR="0072762D">
        <w:rPr>
          <w:rFonts w:ascii="Verdana" w:hAnsi="Verdana"/>
          <w:sz w:val="24"/>
          <w:szCs w:val="24"/>
        </w:rPr>
        <w:t>corporate securities filings.</w:t>
      </w:r>
      <w:r w:rsidR="003473CE">
        <w:rPr>
          <w:rFonts w:ascii="Verdana" w:hAnsi="Verdana"/>
          <w:sz w:val="24"/>
          <w:szCs w:val="24"/>
        </w:rPr>
        <w:t xml:space="preserve">  In short, timely oversight of financial reporting irregularities isn’t happening, unless perhaps a whistleblower steps forward.</w:t>
      </w:r>
      <w:r>
        <w:rPr>
          <w:rFonts w:ascii="Verdana" w:hAnsi="Verdana"/>
          <w:sz w:val="24"/>
          <w:szCs w:val="24"/>
        </w:rPr>
        <w:br/>
      </w:r>
    </w:p>
    <w:p w:rsidR="00941068" w:rsidRPr="0072762D" w:rsidRDefault="00941068" w:rsidP="00B3143C">
      <w:pPr>
        <w:pStyle w:val="ListParagraph"/>
        <w:numPr>
          <w:ilvl w:val="0"/>
          <w:numId w:val="14"/>
        </w:numPr>
        <w:rPr>
          <w:rFonts w:ascii="Verdana" w:hAnsi="Verdana"/>
          <w:sz w:val="24"/>
          <w:szCs w:val="24"/>
        </w:rPr>
      </w:pPr>
      <w:r w:rsidRPr="0072762D">
        <w:rPr>
          <w:rFonts w:ascii="Verdana" w:hAnsi="Verdana"/>
          <w:sz w:val="24"/>
          <w:szCs w:val="24"/>
        </w:rPr>
        <w:t>Since ince</w:t>
      </w:r>
      <w:r w:rsidR="003473CE">
        <w:rPr>
          <w:rFonts w:ascii="Verdana" w:hAnsi="Verdana"/>
          <w:sz w:val="24"/>
          <w:szCs w:val="24"/>
        </w:rPr>
        <w:t xml:space="preserve">ption the </w:t>
      </w:r>
      <w:hyperlink r:id="rId10" w:history="1">
        <w:r w:rsidR="003473CE" w:rsidRPr="003473CE">
          <w:rPr>
            <w:rStyle w:val="Hyperlink"/>
            <w:rFonts w:ascii="Verdana" w:hAnsi="Verdana"/>
            <w:sz w:val="24"/>
            <w:szCs w:val="24"/>
          </w:rPr>
          <w:t>PCAOB has issued fewer than 40</w:t>
        </w:r>
        <w:r w:rsidRPr="003473CE">
          <w:rPr>
            <w:rStyle w:val="Hyperlink"/>
            <w:rFonts w:ascii="Verdana" w:hAnsi="Verdana"/>
            <w:sz w:val="24"/>
            <w:szCs w:val="24"/>
          </w:rPr>
          <w:t xml:space="preserve"> actions</w:t>
        </w:r>
      </w:hyperlink>
      <w:r w:rsidRPr="0072762D">
        <w:rPr>
          <w:rFonts w:ascii="Verdana" w:hAnsi="Verdana"/>
          <w:sz w:val="24"/>
          <w:szCs w:val="24"/>
        </w:rPr>
        <w:t xml:space="preserve"> ag</w:t>
      </w:r>
      <w:r w:rsidR="0072762D" w:rsidRPr="0072762D">
        <w:rPr>
          <w:rFonts w:ascii="Verdana" w:hAnsi="Verdana"/>
          <w:sz w:val="24"/>
          <w:szCs w:val="24"/>
        </w:rPr>
        <w:t xml:space="preserve">ainst auditors for violating generally accepting auditing standards despite numerous post Sarbanes-Oxley </w:t>
      </w:r>
      <w:r w:rsidRPr="0072762D">
        <w:rPr>
          <w:rFonts w:ascii="Verdana" w:hAnsi="Verdana"/>
          <w:sz w:val="24"/>
          <w:szCs w:val="24"/>
        </w:rPr>
        <w:t>accounting failures.  Particularly notewort</w:t>
      </w:r>
      <w:r w:rsidR="0072762D" w:rsidRPr="0072762D">
        <w:rPr>
          <w:rFonts w:ascii="Verdana" w:hAnsi="Verdana"/>
          <w:sz w:val="24"/>
          <w:szCs w:val="24"/>
        </w:rPr>
        <w:t>hy is the fact that of the Big Four accounting firms that</w:t>
      </w:r>
      <w:r w:rsidRPr="0072762D">
        <w:rPr>
          <w:rFonts w:ascii="Verdana" w:hAnsi="Verdana"/>
          <w:sz w:val="24"/>
          <w:szCs w:val="24"/>
        </w:rPr>
        <w:t xml:space="preserve"> audit the vast majority </w:t>
      </w:r>
      <w:r w:rsidR="0072762D" w:rsidRPr="0072762D">
        <w:rPr>
          <w:rFonts w:ascii="Verdana" w:hAnsi="Verdana"/>
          <w:sz w:val="24"/>
          <w:szCs w:val="24"/>
        </w:rPr>
        <w:t>of exchange listed firms, only a handful</w:t>
      </w:r>
      <w:r w:rsidRPr="0072762D">
        <w:rPr>
          <w:rFonts w:ascii="Verdana" w:hAnsi="Verdana"/>
          <w:sz w:val="24"/>
          <w:szCs w:val="24"/>
        </w:rPr>
        <w:t xml:space="preserve"> have been cited despite the numer</w:t>
      </w:r>
      <w:r w:rsidR="0072762D" w:rsidRPr="0072762D">
        <w:rPr>
          <w:rFonts w:ascii="Verdana" w:hAnsi="Verdana"/>
          <w:sz w:val="24"/>
          <w:szCs w:val="24"/>
        </w:rPr>
        <w:t xml:space="preserve">ous cases of malpractice that the marketplace has </w:t>
      </w:r>
      <w:r w:rsidRPr="0072762D">
        <w:rPr>
          <w:rFonts w:ascii="Verdana" w:hAnsi="Verdana"/>
          <w:sz w:val="24"/>
          <w:szCs w:val="24"/>
        </w:rPr>
        <w:t>witnessed.</w:t>
      </w:r>
      <w:r w:rsidR="0072762D" w:rsidRPr="0072762D">
        <w:rPr>
          <w:rFonts w:ascii="Verdana" w:hAnsi="Verdana"/>
          <w:sz w:val="24"/>
          <w:szCs w:val="24"/>
        </w:rPr>
        <w:t xml:space="preserve">  Could political influence be </w:t>
      </w:r>
      <w:r w:rsidRPr="0072762D">
        <w:rPr>
          <w:rFonts w:ascii="Verdana" w:hAnsi="Verdana"/>
          <w:sz w:val="24"/>
          <w:szCs w:val="24"/>
        </w:rPr>
        <w:t xml:space="preserve">contributing to </w:t>
      </w:r>
      <w:r w:rsidR="0072762D" w:rsidRPr="0072762D">
        <w:rPr>
          <w:rFonts w:ascii="Verdana" w:hAnsi="Verdana"/>
          <w:sz w:val="24"/>
          <w:szCs w:val="24"/>
        </w:rPr>
        <w:t>this “preferential treatment?”  How else can you exp</w:t>
      </w:r>
      <w:r w:rsidR="004E2734">
        <w:rPr>
          <w:rFonts w:ascii="Verdana" w:hAnsi="Verdana"/>
          <w:sz w:val="24"/>
          <w:szCs w:val="24"/>
        </w:rPr>
        <w:t>lain the application of “too few</w:t>
      </w:r>
      <w:r w:rsidR="0072762D" w:rsidRPr="0072762D">
        <w:rPr>
          <w:rFonts w:ascii="Verdana" w:hAnsi="Verdana"/>
          <w:sz w:val="24"/>
          <w:szCs w:val="24"/>
        </w:rPr>
        <w:t xml:space="preserve"> to fail” treatment to the large accounting firms?  They don’t really audit anymore, so who really cares if they fail? </w:t>
      </w:r>
      <w:r w:rsidR="0072762D">
        <w:rPr>
          <w:rFonts w:ascii="Verdana" w:hAnsi="Verdana"/>
          <w:sz w:val="24"/>
          <w:szCs w:val="24"/>
        </w:rPr>
        <w:br/>
      </w:r>
    </w:p>
    <w:p w:rsidR="0072762D" w:rsidRDefault="0072762D" w:rsidP="0072762D">
      <w:pPr>
        <w:rPr>
          <w:rFonts w:ascii="Verdana" w:hAnsi="Verdana"/>
          <w:sz w:val="24"/>
          <w:szCs w:val="24"/>
        </w:rPr>
      </w:pPr>
      <w:r w:rsidRPr="0072762D">
        <w:rPr>
          <w:rFonts w:ascii="Verdana" w:hAnsi="Verdana"/>
          <w:sz w:val="24"/>
          <w:szCs w:val="24"/>
        </w:rPr>
        <w:t>S</w:t>
      </w:r>
      <w:r w:rsidRPr="00941068">
        <w:rPr>
          <w:rFonts w:ascii="Verdana" w:hAnsi="Verdana"/>
          <w:sz w:val="24"/>
          <w:szCs w:val="24"/>
        </w:rPr>
        <w:t xml:space="preserve">o how much </w:t>
      </w:r>
      <w:r w:rsidR="003473CE">
        <w:rPr>
          <w:rFonts w:ascii="Verdana" w:hAnsi="Verdana"/>
          <w:sz w:val="24"/>
          <w:szCs w:val="24"/>
        </w:rPr>
        <w:t xml:space="preserve">of this “rule bending” </w:t>
      </w:r>
      <w:r w:rsidRPr="00941068">
        <w:rPr>
          <w:rFonts w:ascii="Verdana" w:hAnsi="Verdana"/>
          <w:sz w:val="24"/>
          <w:szCs w:val="24"/>
        </w:rPr>
        <w:t xml:space="preserve">is </w:t>
      </w:r>
      <w:r w:rsidR="003473CE">
        <w:rPr>
          <w:rFonts w:ascii="Verdana" w:hAnsi="Verdana"/>
          <w:sz w:val="24"/>
          <w:szCs w:val="24"/>
        </w:rPr>
        <w:t>related to</w:t>
      </w:r>
      <w:r w:rsidRPr="00941068">
        <w:rPr>
          <w:rFonts w:ascii="Verdana" w:hAnsi="Verdana"/>
          <w:sz w:val="24"/>
          <w:szCs w:val="24"/>
        </w:rPr>
        <w:t xml:space="preserve"> lobbying clout? </w:t>
      </w:r>
      <w:r w:rsidR="003473CE">
        <w:rPr>
          <w:rFonts w:ascii="Verdana" w:hAnsi="Verdana"/>
          <w:sz w:val="24"/>
          <w:szCs w:val="24"/>
        </w:rPr>
        <w:t xml:space="preserve"> </w:t>
      </w:r>
      <w:r w:rsidR="00F460F1">
        <w:rPr>
          <w:rFonts w:ascii="Verdana" w:hAnsi="Verdana"/>
          <w:sz w:val="24"/>
          <w:szCs w:val="24"/>
        </w:rPr>
        <w:t>According to the Center for Responsible Politics (</w:t>
      </w:r>
      <w:hyperlink r:id="rId11" w:history="1">
        <w:r w:rsidR="00F460F1" w:rsidRPr="00EB1E9D">
          <w:rPr>
            <w:rStyle w:val="Hyperlink"/>
            <w:rFonts w:ascii="Verdana" w:hAnsi="Verdana"/>
            <w:sz w:val="24"/>
            <w:szCs w:val="24"/>
          </w:rPr>
          <w:t>www.opensecrets.org</w:t>
        </w:r>
      </w:hyperlink>
      <w:r w:rsidR="00F460F1">
        <w:rPr>
          <w:rFonts w:ascii="Verdana" w:hAnsi="Verdana"/>
          <w:sz w:val="24"/>
          <w:szCs w:val="24"/>
        </w:rPr>
        <w:t>) in an article entitled “Wall Street’s Campaign Contributions and Lobbyist Expenditures,” a</w:t>
      </w:r>
      <w:r w:rsidRPr="00941068">
        <w:rPr>
          <w:rFonts w:ascii="Verdana" w:hAnsi="Verdana"/>
          <w:sz w:val="24"/>
          <w:szCs w:val="24"/>
        </w:rPr>
        <w:t>ccounting firms spent $81 million on campaign contributions and $122 million on lobbying between 1998 and 2008. Accounting giants Deloitte &amp; Touche, Ernst &amp; Young, KPMG and PricewaterhouseCoopers spent, respectively, $32 million, $37 million, $27 million</w:t>
      </w:r>
      <w:r w:rsidR="001A441A">
        <w:rPr>
          <w:rFonts w:ascii="Verdana" w:hAnsi="Verdana"/>
          <w:sz w:val="24"/>
          <w:szCs w:val="24"/>
        </w:rPr>
        <w:t>,</w:t>
      </w:r>
      <w:r w:rsidRPr="00941068">
        <w:rPr>
          <w:rFonts w:ascii="Verdana" w:hAnsi="Verdana"/>
          <w:sz w:val="24"/>
          <w:szCs w:val="24"/>
        </w:rPr>
        <w:t xml:space="preserve"> an</w:t>
      </w:r>
      <w:r w:rsidR="001A441A">
        <w:rPr>
          <w:rFonts w:ascii="Verdana" w:hAnsi="Verdana"/>
          <w:sz w:val="24"/>
          <w:szCs w:val="24"/>
        </w:rPr>
        <w:t>d $55 million.  In 2007 alone, a</w:t>
      </w:r>
      <w:r w:rsidRPr="00941068">
        <w:rPr>
          <w:rFonts w:ascii="Verdana" w:hAnsi="Verdana"/>
          <w:sz w:val="24"/>
          <w:szCs w:val="24"/>
        </w:rPr>
        <w:t>ccounting firms employed 178 lobbyists.</w:t>
      </w:r>
    </w:p>
    <w:p w:rsidR="001A441A" w:rsidRPr="00941068" w:rsidRDefault="001A441A" w:rsidP="0072762D">
      <w:pPr>
        <w:rPr>
          <w:rFonts w:ascii="Verdana" w:hAnsi="Verdana"/>
          <w:sz w:val="24"/>
          <w:szCs w:val="24"/>
        </w:rPr>
      </w:pPr>
    </w:p>
    <w:p w:rsidR="0072762D" w:rsidRPr="00941068" w:rsidRDefault="001A441A" w:rsidP="0072762D">
      <w:pPr>
        <w:rPr>
          <w:rFonts w:ascii="Verdana" w:hAnsi="Verdana"/>
          <w:sz w:val="24"/>
          <w:szCs w:val="24"/>
        </w:rPr>
      </w:pPr>
      <w:r>
        <w:rPr>
          <w:rFonts w:ascii="Verdana" w:hAnsi="Verdana"/>
          <w:sz w:val="24"/>
          <w:szCs w:val="24"/>
        </w:rPr>
        <w:t xml:space="preserve">And the Big Four continue to poison the regulatory waters.  </w:t>
      </w:r>
      <w:r w:rsidR="0072762D" w:rsidRPr="00941068">
        <w:rPr>
          <w:rFonts w:ascii="Verdana" w:hAnsi="Verdana"/>
          <w:sz w:val="24"/>
          <w:szCs w:val="24"/>
        </w:rPr>
        <w:t>Just as Goldman has been criticized for sprinkling their people into key positions at Treasury during</w:t>
      </w:r>
      <w:r>
        <w:rPr>
          <w:rFonts w:ascii="Verdana" w:hAnsi="Verdana"/>
          <w:sz w:val="24"/>
          <w:szCs w:val="24"/>
        </w:rPr>
        <w:t xml:space="preserve"> the financial crisis of 2008, the Big Four</w:t>
      </w:r>
      <w:r w:rsidR="0072762D" w:rsidRPr="00941068">
        <w:rPr>
          <w:rFonts w:ascii="Verdana" w:hAnsi="Verdana"/>
          <w:sz w:val="24"/>
          <w:szCs w:val="24"/>
        </w:rPr>
        <w:t xml:space="preserve"> have done exactly the same at the SEC and PCAOB, the very instit</w:t>
      </w:r>
      <w:r>
        <w:rPr>
          <w:rFonts w:ascii="Verdana" w:hAnsi="Verdana"/>
          <w:sz w:val="24"/>
          <w:szCs w:val="24"/>
        </w:rPr>
        <w:t xml:space="preserve">utions that regulate them. </w:t>
      </w:r>
      <w:r w:rsidR="00A725CB">
        <w:rPr>
          <w:rFonts w:ascii="Verdana" w:hAnsi="Verdana"/>
          <w:sz w:val="24"/>
          <w:szCs w:val="24"/>
        </w:rPr>
        <w:t xml:space="preserve"> A simple review of staff biographies for each of these organizations is confirmation enough.  </w:t>
      </w:r>
      <w:r w:rsidR="003473CE">
        <w:rPr>
          <w:rFonts w:ascii="Verdana" w:hAnsi="Verdana"/>
          <w:sz w:val="24"/>
          <w:szCs w:val="24"/>
        </w:rPr>
        <w:t>A</w:t>
      </w:r>
      <w:r>
        <w:rPr>
          <w:rFonts w:ascii="Verdana" w:hAnsi="Verdana"/>
          <w:sz w:val="24"/>
          <w:szCs w:val="24"/>
        </w:rPr>
        <w:t xml:space="preserve">dditionally, </w:t>
      </w:r>
      <w:r w:rsidR="00A725CB">
        <w:rPr>
          <w:rFonts w:ascii="Verdana" w:hAnsi="Verdana"/>
          <w:sz w:val="24"/>
          <w:szCs w:val="24"/>
        </w:rPr>
        <w:t xml:space="preserve">we all can cite examples of </w:t>
      </w:r>
      <w:r w:rsidR="0072762D" w:rsidRPr="00941068">
        <w:rPr>
          <w:rFonts w:ascii="Verdana" w:hAnsi="Verdana"/>
          <w:sz w:val="24"/>
          <w:szCs w:val="24"/>
        </w:rPr>
        <w:t>former regulators</w:t>
      </w:r>
      <w:r>
        <w:rPr>
          <w:rFonts w:ascii="Verdana" w:hAnsi="Verdana"/>
          <w:sz w:val="24"/>
          <w:szCs w:val="24"/>
        </w:rPr>
        <w:t xml:space="preserve"> join the Big Four </w:t>
      </w:r>
      <w:r w:rsidR="00A725CB">
        <w:rPr>
          <w:rFonts w:ascii="Verdana" w:hAnsi="Verdana"/>
          <w:sz w:val="24"/>
          <w:szCs w:val="24"/>
        </w:rPr>
        <w:t xml:space="preserve">as consultants </w:t>
      </w:r>
      <w:r w:rsidR="0072762D" w:rsidRPr="00941068">
        <w:rPr>
          <w:rFonts w:ascii="Verdana" w:hAnsi="Verdana"/>
          <w:sz w:val="24"/>
          <w:szCs w:val="24"/>
        </w:rPr>
        <w:t>when they retire.</w:t>
      </w:r>
    </w:p>
    <w:p w:rsidR="00941068" w:rsidRPr="00941068" w:rsidRDefault="00941068" w:rsidP="00B3143C">
      <w:pPr>
        <w:rPr>
          <w:rFonts w:ascii="Verdana" w:hAnsi="Verdana"/>
          <w:sz w:val="24"/>
          <w:szCs w:val="24"/>
        </w:rPr>
      </w:pPr>
    </w:p>
    <w:p w:rsidR="00A848B8" w:rsidRDefault="00A848B8" w:rsidP="00A848B8">
      <w:pPr>
        <w:rPr>
          <w:rFonts w:ascii="Verdana" w:hAnsi="Verdana"/>
          <w:sz w:val="24"/>
          <w:szCs w:val="24"/>
        </w:rPr>
      </w:pPr>
      <w:r>
        <w:rPr>
          <w:rFonts w:ascii="Verdana" w:hAnsi="Verdana"/>
          <w:sz w:val="24"/>
          <w:szCs w:val="24"/>
        </w:rPr>
        <w:t>The</w:t>
      </w:r>
      <w:r w:rsidR="003473CE">
        <w:rPr>
          <w:rFonts w:ascii="Verdana" w:hAnsi="Verdana"/>
          <w:sz w:val="24"/>
          <w:szCs w:val="24"/>
        </w:rPr>
        <w:t>se</w:t>
      </w:r>
      <w:r>
        <w:rPr>
          <w:rFonts w:ascii="Verdana" w:hAnsi="Verdana"/>
          <w:sz w:val="24"/>
          <w:szCs w:val="24"/>
        </w:rPr>
        <w:t xml:space="preserve"> large accounting firms also are not shy at promoting their agendas.  </w:t>
      </w:r>
      <w:r w:rsidR="00941068" w:rsidRPr="00941068">
        <w:rPr>
          <w:rFonts w:ascii="Verdana" w:hAnsi="Verdana"/>
          <w:sz w:val="24"/>
          <w:szCs w:val="24"/>
        </w:rPr>
        <w:t>What are they interested in?</w:t>
      </w:r>
      <w:r>
        <w:rPr>
          <w:rFonts w:ascii="Verdana" w:hAnsi="Verdana"/>
          <w:sz w:val="24"/>
          <w:szCs w:val="24"/>
        </w:rPr>
        <w:t xml:space="preserve">  They favor accounting rules </w:t>
      </w:r>
      <w:r w:rsidR="00941068" w:rsidRPr="00A848B8">
        <w:rPr>
          <w:rFonts w:ascii="Verdana" w:hAnsi="Verdana"/>
          <w:sz w:val="24"/>
          <w:szCs w:val="24"/>
        </w:rPr>
        <w:t xml:space="preserve">that promote </w:t>
      </w:r>
      <w:r>
        <w:rPr>
          <w:rFonts w:ascii="Verdana" w:hAnsi="Verdana"/>
          <w:sz w:val="24"/>
          <w:szCs w:val="24"/>
        </w:rPr>
        <w:t xml:space="preserve">more </w:t>
      </w:r>
      <w:r w:rsidR="00941068" w:rsidRPr="00A848B8">
        <w:rPr>
          <w:rFonts w:ascii="Verdana" w:hAnsi="Verdana"/>
          <w:sz w:val="24"/>
          <w:szCs w:val="24"/>
        </w:rPr>
        <w:t xml:space="preserve">judgment </w:t>
      </w:r>
      <w:r>
        <w:rPr>
          <w:rFonts w:ascii="Verdana" w:hAnsi="Verdana"/>
          <w:sz w:val="24"/>
          <w:szCs w:val="24"/>
        </w:rPr>
        <w:t xml:space="preserve">in the application of GAAP </w:t>
      </w:r>
      <w:r w:rsidR="00941068" w:rsidRPr="00A848B8">
        <w:rPr>
          <w:rFonts w:ascii="Verdana" w:hAnsi="Verdana"/>
          <w:sz w:val="24"/>
          <w:szCs w:val="24"/>
        </w:rPr>
        <w:t xml:space="preserve">that reduce the likelihood of litigation, </w:t>
      </w:r>
      <w:r w:rsidR="00941068" w:rsidRPr="00A848B8">
        <w:rPr>
          <w:rFonts w:ascii="Verdana" w:hAnsi="Verdana"/>
          <w:sz w:val="24"/>
          <w:szCs w:val="24"/>
        </w:rPr>
        <w:lastRenderedPageBreak/>
        <w:t>e.g.</w:t>
      </w:r>
      <w:r>
        <w:rPr>
          <w:rFonts w:ascii="Verdana" w:hAnsi="Verdana"/>
          <w:sz w:val="24"/>
          <w:szCs w:val="24"/>
        </w:rPr>
        <w:t>,</w:t>
      </w:r>
      <w:r w:rsidR="00941068" w:rsidRPr="00A848B8">
        <w:rPr>
          <w:rFonts w:ascii="Verdana" w:hAnsi="Verdana"/>
          <w:sz w:val="24"/>
          <w:szCs w:val="24"/>
        </w:rPr>
        <w:t xml:space="preserve"> fair value and </w:t>
      </w:r>
      <w:hyperlink r:id="rId12" w:history="1">
        <w:r w:rsidR="00941068" w:rsidRPr="004E2734">
          <w:rPr>
            <w:rStyle w:val="Hyperlink"/>
            <w:rFonts w:ascii="Verdana" w:hAnsi="Verdana"/>
            <w:sz w:val="24"/>
            <w:szCs w:val="24"/>
          </w:rPr>
          <w:t>International Financial Reporting Standards</w:t>
        </w:r>
      </w:hyperlink>
      <w:r w:rsidR="00941068" w:rsidRPr="00A848B8">
        <w:rPr>
          <w:rFonts w:ascii="Verdana" w:hAnsi="Verdana"/>
          <w:sz w:val="24"/>
          <w:szCs w:val="24"/>
        </w:rPr>
        <w:t>.</w:t>
      </w:r>
      <w:r>
        <w:rPr>
          <w:rFonts w:ascii="Verdana" w:hAnsi="Verdana"/>
          <w:sz w:val="24"/>
          <w:szCs w:val="24"/>
        </w:rPr>
        <w:t xml:space="preserve">  They also support c</w:t>
      </w:r>
      <w:r w:rsidR="00941068" w:rsidRPr="00A848B8">
        <w:rPr>
          <w:rFonts w:ascii="Verdana" w:hAnsi="Verdana"/>
          <w:sz w:val="24"/>
          <w:szCs w:val="24"/>
        </w:rPr>
        <w:t>aps on litigation costs for their malpra</w:t>
      </w:r>
      <w:r>
        <w:rPr>
          <w:rFonts w:ascii="Verdana" w:hAnsi="Verdana"/>
          <w:sz w:val="24"/>
          <w:szCs w:val="24"/>
        </w:rPr>
        <w:t>ctice, as well as c</w:t>
      </w:r>
      <w:r w:rsidRPr="00941068">
        <w:rPr>
          <w:rFonts w:ascii="Verdana" w:hAnsi="Verdana"/>
          <w:sz w:val="24"/>
          <w:szCs w:val="24"/>
        </w:rPr>
        <w:t>ontinued protection from</w:t>
      </w:r>
      <w:r>
        <w:rPr>
          <w:rFonts w:ascii="Verdana" w:hAnsi="Verdana"/>
          <w:sz w:val="24"/>
          <w:szCs w:val="24"/>
        </w:rPr>
        <w:t xml:space="preserve"> disclosure of their governmental </w:t>
      </w:r>
      <w:r w:rsidRPr="00941068">
        <w:rPr>
          <w:rFonts w:ascii="Verdana" w:hAnsi="Verdana"/>
          <w:sz w:val="24"/>
          <w:szCs w:val="24"/>
        </w:rPr>
        <w:t>inspection reports and disciplinary actions.</w:t>
      </w:r>
    </w:p>
    <w:p w:rsidR="00070FC4" w:rsidRDefault="00070FC4" w:rsidP="00A848B8">
      <w:pPr>
        <w:rPr>
          <w:rFonts w:ascii="Verdana" w:hAnsi="Verdana"/>
          <w:sz w:val="24"/>
          <w:szCs w:val="24"/>
        </w:rPr>
      </w:pPr>
    </w:p>
    <w:p w:rsidR="00070FC4" w:rsidRPr="00070FC4" w:rsidRDefault="00070FC4" w:rsidP="00070FC4">
      <w:pPr>
        <w:pStyle w:val="ListParagraph"/>
        <w:numPr>
          <w:ilvl w:val="0"/>
          <w:numId w:val="16"/>
        </w:numPr>
        <w:rPr>
          <w:rFonts w:ascii="Verdana" w:hAnsi="Verdana"/>
          <w:sz w:val="24"/>
          <w:szCs w:val="24"/>
        </w:rPr>
      </w:pPr>
      <w:r>
        <w:rPr>
          <w:rFonts w:ascii="Verdana" w:hAnsi="Verdana"/>
          <w:sz w:val="24"/>
          <w:szCs w:val="24"/>
        </w:rPr>
        <w:t xml:space="preserve">Are investor interests really served by the </w:t>
      </w:r>
      <w:hyperlink r:id="rId13" w:history="1">
        <w:r w:rsidRPr="004E2734">
          <w:rPr>
            <w:rStyle w:val="Hyperlink"/>
            <w:rFonts w:ascii="Verdana" w:hAnsi="Verdana"/>
            <w:sz w:val="24"/>
            <w:szCs w:val="24"/>
          </w:rPr>
          <w:t>PCAOB’s refusal</w:t>
        </w:r>
      </w:hyperlink>
      <w:r>
        <w:rPr>
          <w:rFonts w:ascii="Verdana" w:hAnsi="Verdana"/>
          <w:sz w:val="24"/>
          <w:szCs w:val="24"/>
        </w:rPr>
        <w:t xml:space="preserve"> </w:t>
      </w:r>
      <w:r w:rsidRPr="00070FC4">
        <w:rPr>
          <w:rFonts w:ascii="Verdana" w:hAnsi="Verdana"/>
          <w:sz w:val="24"/>
          <w:szCs w:val="24"/>
        </w:rPr>
        <w:t>to disclose the names of companies whose auditors failed to conduct proper audits</w:t>
      </w:r>
      <w:r>
        <w:rPr>
          <w:rFonts w:ascii="Verdana" w:hAnsi="Verdana"/>
          <w:sz w:val="24"/>
          <w:szCs w:val="24"/>
        </w:rPr>
        <w:t>?</w:t>
      </w:r>
      <w:r w:rsidRPr="00070FC4">
        <w:rPr>
          <w:rFonts w:ascii="Verdana" w:hAnsi="Verdana"/>
          <w:sz w:val="24"/>
          <w:szCs w:val="24"/>
        </w:rPr>
        <w:t xml:space="preserve">  Even though fewer investors today actually rely on the current audit report for assurance on financial statement quality, all would appreciate knowing that a specific company’s auditors “did not obtain sufficient competent evidential matter to support its opinion on the issuer’s financial statements,” as occurred in Alterra’s case.</w:t>
      </w:r>
    </w:p>
    <w:p w:rsidR="00070FC4" w:rsidRDefault="00070FC4" w:rsidP="00A848B8">
      <w:pPr>
        <w:rPr>
          <w:rFonts w:ascii="Verdana" w:hAnsi="Verdana"/>
          <w:sz w:val="24"/>
          <w:szCs w:val="24"/>
        </w:rPr>
      </w:pPr>
    </w:p>
    <w:p w:rsidR="00941068" w:rsidRPr="00070FC4" w:rsidRDefault="00070FC4" w:rsidP="00070FC4">
      <w:pPr>
        <w:pStyle w:val="ListParagraph"/>
        <w:numPr>
          <w:ilvl w:val="0"/>
          <w:numId w:val="16"/>
        </w:numPr>
        <w:rPr>
          <w:rFonts w:ascii="Verdana" w:hAnsi="Verdana"/>
          <w:sz w:val="24"/>
          <w:szCs w:val="24"/>
        </w:rPr>
      </w:pPr>
      <w:r w:rsidRPr="00070FC4">
        <w:rPr>
          <w:rFonts w:ascii="Verdana" w:hAnsi="Verdana"/>
          <w:sz w:val="24"/>
          <w:szCs w:val="24"/>
        </w:rPr>
        <w:t xml:space="preserve">Today, </w:t>
      </w:r>
      <w:r w:rsidR="00A725CB">
        <w:rPr>
          <w:rFonts w:ascii="Verdana" w:hAnsi="Verdana"/>
          <w:sz w:val="24"/>
          <w:szCs w:val="24"/>
        </w:rPr>
        <w:t xml:space="preserve">according to </w:t>
      </w:r>
      <w:hyperlink r:id="rId14" w:history="1">
        <w:r w:rsidR="00A725CB" w:rsidRPr="00A725CB">
          <w:rPr>
            <w:rStyle w:val="Hyperlink"/>
            <w:rFonts w:ascii="Verdana" w:hAnsi="Verdana"/>
            <w:sz w:val="24"/>
            <w:szCs w:val="24"/>
          </w:rPr>
          <w:t>Francine McKenna</w:t>
        </w:r>
      </w:hyperlink>
      <w:r w:rsidR="00A725CB">
        <w:rPr>
          <w:rFonts w:ascii="Verdana" w:hAnsi="Verdana"/>
          <w:sz w:val="24"/>
          <w:szCs w:val="24"/>
        </w:rPr>
        <w:t xml:space="preserve"> at </w:t>
      </w:r>
      <w:r w:rsidR="00A725CB" w:rsidRPr="00A725CB">
        <w:rPr>
          <w:rFonts w:ascii="Verdana" w:hAnsi="Verdana"/>
          <w:i/>
          <w:sz w:val="24"/>
          <w:szCs w:val="24"/>
        </w:rPr>
        <w:t>re: The Auditors</w:t>
      </w:r>
      <w:r w:rsidR="00A725CB">
        <w:rPr>
          <w:rFonts w:ascii="Verdana" w:hAnsi="Verdana"/>
          <w:sz w:val="24"/>
          <w:szCs w:val="24"/>
        </w:rPr>
        <w:t xml:space="preserve">, </w:t>
      </w:r>
      <w:r w:rsidRPr="00070FC4">
        <w:rPr>
          <w:rFonts w:ascii="Verdana" w:hAnsi="Verdana"/>
          <w:sz w:val="24"/>
          <w:szCs w:val="24"/>
        </w:rPr>
        <w:t xml:space="preserve">the Big Four are devoting significant attention to the Dodd-Frank Act since this legislation </w:t>
      </w:r>
      <w:r w:rsidR="00941068" w:rsidRPr="00070FC4">
        <w:rPr>
          <w:rFonts w:ascii="Verdana" w:hAnsi="Verdana"/>
          <w:sz w:val="24"/>
          <w:szCs w:val="24"/>
        </w:rPr>
        <w:t xml:space="preserve">gave the </w:t>
      </w:r>
      <w:r w:rsidRPr="00070FC4">
        <w:rPr>
          <w:rFonts w:ascii="Verdana" w:hAnsi="Verdana"/>
          <w:sz w:val="24"/>
          <w:szCs w:val="24"/>
        </w:rPr>
        <w:t xml:space="preserve">SEC </w:t>
      </w:r>
      <w:r w:rsidR="00941068" w:rsidRPr="00070FC4">
        <w:rPr>
          <w:rFonts w:ascii="Verdana" w:hAnsi="Verdana"/>
          <w:sz w:val="24"/>
          <w:szCs w:val="24"/>
        </w:rPr>
        <w:t>the authority under existing antifraud rules to take action in cases involving tran</w:t>
      </w:r>
      <w:r w:rsidRPr="00070FC4">
        <w:rPr>
          <w:rFonts w:ascii="Verdana" w:hAnsi="Verdana"/>
          <w:sz w:val="24"/>
          <w:szCs w:val="24"/>
        </w:rPr>
        <w:t xml:space="preserve">snational securities fraud. This </w:t>
      </w:r>
      <w:r w:rsidR="00941068" w:rsidRPr="00070FC4">
        <w:rPr>
          <w:rFonts w:ascii="Verdana" w:hAnsi="Verdana"/>
          <w:sz w:val="24"/>
          <w:szCs w:val="24"/>
        </w:rPr>
        <w:t>prompted seven major accounting firms, inc</w:t>
      </w:r>
      <w:r w:rsidRPr="00070FC4">
        <w:rPr>
          <w:rFonts w:ascii="Verdana" w:hAnsi="Verdana"/>
          <w:sz w:val="24"/>
          <w:szCs w:val="24"/>
        </w:rPr>
        <w:t>luding all of the Big Four</w:t>
      </w:r>
      <w:r w:rsidR="00941068" w:rsidRPr="00070FC4">
        <w:rPr>
          <w:rFonts w:ascii="Verdana" w:hAnsi="Verdana"/>
          <w:sz w:val="24"/>
          <w:szCs w:val="24"/>
        </w:rPr>
        <w:t xml:space="preserve">, to pool their legal resources and plead for protection. </w:t>
      </w:r>
      <w:r w:rsidRPr="00070FC4">
        <w:rPr>
          <w:rFonts w:ascii="Verdana" w:hAnsi="Verdana"/>
          <w:sz w:val="24"/>
          <w:szCs w:val="24"/>
        </w:rPr>
        <w:t xml:space="preserve"> </w:t>
      </w:r>
      <w:r w:rsidR="00941068" w:rsidRPr="00070FC4">
        <w:rPr>
          <w:rFonts w:ascii="Verdana" w:hAnsi="Verdana"/>
          <w:sz w:val="24"/>
          <w:szCs w:val="24"/>
        </w:rPr>
        <w:t xml:space="preserve">In a joint comment letter to the SEC, the audit firms reminded the SEC that they already face claims in the United States that are big enough to threaten their existence. </w:t>
      </w:r>
      <w:r w:rsidRPr="00070FC4">
        <w:rPr>
          <w:rFonts w:ascii="Verdana" w:hAnsi="Verdana"/>
          <w:sz w:val="24"/>
          <w:szCs w:val="24"/>
        </w:rPr>
        <w:t xml:space="preserve"> </w:t>
      </w:r>
      <w:r w:rsidR="00941068" w:rsidRPr="00070FC4">
        <w:rPr>
          <w:rFonts w:ascii="Verdana" w:hAnsi="Verdana"/>
          <w:sz w:val="24"/>
          <w:szCs w:val="24"/>
        </w:rPr>
        <w:t>Now they’re worried that allowing private actions related to transnational securities fraud will enable that threat to seep into their international audit networks as well.</w:t>
      </w:r>
    </w:p>
    <w:p w:rsidR="00941068" w:rsidRPr="00941068" w:rsidRDefault="00941068" w:rsidP="00B3143C">
      <w:pPr>
        <w:rPr>
          <w:rFonts w:ascii="Verdana" w:hAnsi="Verdana"/>
          <w:sz w:val="24"/>
          <w:szCs w:val="24"/>
        </w:rPr>
      </w:pPr>
    </w:p>
    <w:p w:rsidR="00484D57" w:rsidRDefault="00070FC4" w:rsidP="00070FC4">
      <w:pPr>
        <w:rPr>
          <w:rFonts w:ascii="Verdana" w:hAnsi="Verdana"/>
          <w:sz w:val="24"/>
          <w:szCs w:val="24"/>
        </w:rPr>
      </w:pPr>
      <w:r>
        <w:rPr>
          <w:rFonts w:ascii="Verdana" w:hAnsi="Verdana"/>
          <w:sz w:val="24"/>
          <w:szCs w:val="24"/>
        </w:rPr>
        <w:t xml:space="preserve">So, how can we solve this Big Four audit problem?  </w:t>
      </w:r>
      <w:hyperlink r:id="rId15" w:history="1">
        <w:r w:rsidR="00941068" w:rsidRPr="0056118E">
          <w:rPr>
            <w:rStyle w:val="Hyperlink"/>
            <w:rFonts w:ascii="Verdana" w:hAnsi="Verdana"/>
            <w:sz w:val="24"/>
            <w:szCs w:val="24"/>
          </w:rPr>
          <w:t>Mark O’Connor,</w:t>
        </w:r>
      </w:hyperlink>
      <w:r w:rsidR="00941068" w:rsidRPr="00941068">
        <w:rPr>
          <w:rFonts w:ascii="Verdana" w:hAnsi="Verdana"/>
          <w:sz w:val="24"/>
          <w:szCs w:val="24"/>
        </w:rPr>
        <w:t xml:space="preserve"> CEO and Cofounder of Monadnock Research provides some clues.</w:t>
      </w:r>
      <w:r>
        <w:rPr>
          <w:rFonts w:ascii="Verdana" w:hAnsi="Verdana"/>
          <w:sz w:val="24"/>
          <w:szCs w:val="24"/>
        </w:rPr>
        <w:t xml:space="preserve">  We </w:t>
      </w:r>
      <w:r w:rsidR="00484D57">
        <w:rPr>
          <w:rFonts w:ascii="Verdana" w:hAnsi="Verdana"/>
          <w:sz w:val="24"/>
          <w:szCs w:val="24"/>
        </w:rPr>
        <w:t xml:space="preserve">report </w:t>
      </w:r>
      <w:r>
        <w:rPr>
          <w:rFonts w:ascii="Verdana" w:hAnsi="Verdana"/>
          <w:sz w:val="24"/>
          <w:szCs w:val="24"/>
        </w:rPr>
        <w:t xml:space="preserve">his </w:t>
      </w:r>
      <w:r w:rsidR="00484D57">
        <w:rPr>
          <w:rFonts w:ascii="Verdana" w:hAnsi="Verdana"/>
          <w:sz w:val="24"/>
          <w:szCs w:val="24"/>
        </w:rPr>
        <w:t>suggestions in bold below, and our thoughts on how to implement them in italics:</w:t>
      </w:r>
    </w:p>
    <w:p w:rsidR="00941068" w:rsidRPr="00941068" w:rsidRDefault="00484D57" w:rsidP="00070FC4">
      <w:pPr>
        <w:rPr>
          <w:rFonts w:ascii="Verdana" w:hAnsi="Verdana"/>
          <w:sz w:val="24"/>
          <w:szCs w:val="24"/>
        </w:rPr>
      </w:pPr>
      <w:r>
        <w:rPr>
          <w:rFonts w:ascii="Verdana" w:hAnsi="Verdana"/>
          <w:sz w:val="24"/>
          <w:szCs w:val="24"/>
        </w:rPr>
        <w:t xml:space="preserve"> </w:t>
      </w:r>
    </w:p>
    <w:p w:rsidR="00941068" w:rsidRPr="00484D57" w:rsidRDefault="00941068" w:rsidP="00B65B08">
      <w:pPr>
        <w:pStyle w:val="ListParagraph"/>
        <w:numPr>
          <w:ilvl w:val="0"/>
          <w:numId w:val="17"/>
        </w:numPr>
        <w:rPr>
          <w:rFonts w:ascii="Verdana" w:hAnsi="Verdana"/>
          <w:b/>
          <w:sz w:val="24"/>
          <w:szCs w:val="24"/>
        </w:rPr>
      </w:pPr>
      <w:r w:rsidRPr="00484D57">
        <w:rPr>
          <w:rFonts w:ascii="Verdana" w:hAnsi="Verdana"/>
          <w:b/>
          <w:sz w:val="24"/>
          <w:szCs w:val="24"/>
        </w:rPr>
        <w:t>We need to take the right steps by sponsoring organizations, individuals, and legislation that will do the right thing.</w:t>
      </w:r>
      <w:r w:rsidR="00B65B08">
        <w:rPr>
          <w:rFonts w:ascii="Verdana" w:hAnsi="Verdana"/>
          <w:b/>
          <w:sz w:val="24"/>
          <w:szCs w:val="24"/>
        </w:rPr>
        <w:br/>
      </w:r>
      <w:r w:rsidR="00B65B08">
        <w:rPr>
          <w:rFonts w:ascii="Verdana" w:hAnsi="Verdana"/>
          <w:b/>
          <w:sz w:val="24"/>
          <w:szCs w:val="24"/>
        </w:rPr>
        <w:br/>
      </w:r>
      <w:r w:rsidR="00B65B08">
        <w:rPr>
          <w:rFonts w:ascii="Verdana" w:hAnsi="Verdana"/>
          <w:i/>
          <w:sz w:val="24"/>
          <w:szCs w:val="24"/>
        </w:rPr>
        <w:t>Traditional academic and professional accounting organizations have aided and abetted the “audit problem” by their silence.</w:t>
      </w:r>
      <w:r w:rsidR="005C05E4">
        <w:rPr>
          <w:rFonts w:ascii="Verdana" w:hAnsi="Verdana"/>
          <w:i/>
          <w:sz w:val="24"/>
          <w:szCs w:val="24"/>
        </w:rPr>
        <w:t xml:space="preserve"> Therefore, we must encourage and support parties (e.g., bloggers, concerned citizens, journalists, etc.) that are willing to promote meaningful change to the audit model and related enforcement.</w:t>
      </w:r>
      <w:r w:rsidR="005C05E4">
        <w:rPr>
          <w:rFonts w:ascii="Verdana" w:hAnsi="Verdana"/>
          <w:i/>
          <w:sz w:val="24"/>
          <w:szCs w:val="24"/>
        </w:rPr>
        <w:br/>
      </w:r>
    </w:p>
    <w:p w:rsidR="00941068" w:rsidRPr="00484D57" w:rsidRDefault="00941068" w:rsidP="00B65B08">
      <w:pPr>
        <w:pStyle w:val="ListParagraph"/>
        <w:numPr>
          <w:ilvl w:val="0"/>
          <w:numId w:val="17"/>
        </w:numPr>
        <w:rPr>
          <w:rFonts w:ascii="Verdana" w:hAnsi="Verdana"/>
          <w:b/>
          <w:sz w:val="24"/>
          <w:szCs w:val="24"/>
        </w:rPr>
      </w:pPr>
      <w:r w:rsidRPr="00484D57">
        <w:rPr>
          <w:rFonts w:ascii="Verdana" w:hAnsi="Verdana"/>
          <w:b/>
          <w:sz w:val="24"/>
          <w:szCs w:val="24"/>
        </w:rPr>
        <w:t>Trade secrecy for transparency.</w:t>
      </w:r>
      <w:r w:rsidR="005C05E4">
        <w:rPr>
          <w:rFonts w:ascii="Verdana" w:hAnsi="Verdana"/>
          <w:b/>
          <w:sz w:val="24"/>
          <w:szCs w:val="24"/>
        </w:rPr>
        <w:br/>
      </w:r>
      <w:r w:rsidR="005C05E4">
        <w:rPr>
          <w:rFonts w:ascii="Verdana" w:hAnsi="Verdana"/>
          <w:b/>
          <w:sz w:val="24"/>
          <w:szCs w:val="24"/>
        </w:rPr>
        <w:br/>
      </w:r>
      <w:r w:rsidR="005C05E4">
        <w:rPr>
          <w:rFonts w:ascii="Verdana" w:hAnsi="Verdana"/>
          <w:i/>
          <w:sz w:val="24"/>
          <w:szCs w:val="24"/>
        </w:rPr>
        <w:t xml:space="preserve">Encourage the PCAOB to fully report their inspection findings.  A good start would be naming the companies subjected to faulty audits, as well as the individual engagement partners who signed off on the bad </w:t>
      </w:r>
      <w:r w:rsidR="005C05E4">
        <w:rPr>
          <w:rFonts w:ascii="Verdana" w:hAnsi="Verdana"/>
          <w:i/>
          <w:sz w:val="24"/>
          <w:szCs w:val="24"/>
        </w:rPr>
        <w:lastRenderedPageBreak/>
        <w:t>audits.</w:t>
      </w:r>
      <w:r w:rsidR="005C05E4">
        <w:rPr>
          <w:rFonts w:ascii="Verdana" w:hAnsi="Verdana"/>
          <w:i/>
          <w:sz w:val="24"/>
          <w:szCs w:val="24"/>
        </w:rPr>
        <w:br/>
      </w:r>
    </w:p>
    <w:p w:rsidR="00941068" w:rsidRPr="00484D57" w:rsidRDefault="00941068" w:rsidP="00B65B08">
      <w:pPr>
        <w:pStyle w:val="ListParagraph"/>
        <w:numPr>
          <w:ilvl w:val="0"/>
          <w:numId w:val="17"/>
        </w:numPr>
        <w:rPr>
          <w:rFonts w:ascii="Verdana" w:hAnsi="Verdana"/>
          <w:b/>
          <w:sz w:val="24"/>
          <w:szCs w:val="24"/>
        </w:rPr>
      </w:pPr>
      <w:r w:rsidRPr="00484D57">
        <w:rPr>
          <w:rFonts w:ascii="Verdana" w:hAnsi="Verdana"/>
          <w:b/>
          <w:sz w:val="24"/>
          <w:szCs w:val="24"/>
        </w:rPr>
        <w:t>Turn them in.</w:t>
      </w:r>
      <w:r w:rsidR="005C05E4">
        <w:rPr>
          <w:rFonts w:ascii="Verdana" w:hAnsi="Verdana"/>
          <w:b/>
          <w:sz w:val="24"/>
          <w:szCs w:val="24"/>
        </w:rPr>
        <w:br/>
      </w:r>
      <w:r w:rsidR="005C05E4">
        <w:rPr>
          <w:rFonts w:ascii="Verdana" w:hAnsi="Verdana"/>
          <w:b/>
          <w:sz w:val="24"/>
          <w:szCs w:val="24"/>
        </w:rPr>
        <w:br/>
      </w:r>
      <w:r w:rsidR="005C05E4">
        <w:rPr>
          <w:rFonts w:ascii="Verdana" w:hAnsi="Verdana"/>
          <w:i/>
          <w:sz w:val="24"/>
          <w:szCs w:val="24"/>
        </w:rPr>
        <w:t xml:space="preserve">Experienced professionals (academics, concerned citizens, </w:t>
      </w:r>
      <w:r w:rsidR="00410CA9">
        <w:rPr>
          <w:rFonts w:ascii="Verdana" w:hAnsi="Verdana"/>
          <w:i/>
          <w:sz w:val="24"/>
          <w:szCs w:val="24"/>
        </w:rPr>
        <w:t>etc.) must proactively report auditing and reporting violations they find.  All too often, many stay on the sideline unwilling to put their professional beliefs on the line. Use “</w:t>
      </w:r>
      <w:hyperlink r:id="rId16" w:history="1">
        <w:r w:rsidR="00410CA9" w:rsidRPr="00410CA9">
          <w:rPr>
            <w:rStyle w:val="Hyperlink"/>
            <w:rFonts w:ascii="Verdana" w:hAnsi="Verdana"/>
            <w:i/>
            <w:sz w:val="24"/>
            <w:szCs w:val="24"/>
          </w:rPr>
          <w:t>whistleblower hotlines</w:t>
        </w:r>
      </w:hyperlink>
      <w:r w:rsidR="00410CA9">
        <w:rPr>
          <w:rFonts w:ascii="Verdana" w:hAnsi="Verdana"/>
          <w:i/>
          <w:sz w:val="24"/>
          <w:szCs w:val="24"/>
        </w:rPr>
        <w:t>”…that is what they are there for.</w:t>
      </w:r>
      <w:r w:rsidR="00410CA9">
        <w:rPr>
          <w:rFonts w:ascii="Verdana" w:hAnsi="Verdana"/>
          <w:i/>
          <w:sz w:val="24"/>
          <w:szCs w:val="24"/>
        </w:rPr>
        <w:br/>
      </w:r>
    </w:p>
    <w:p w:rsidR="00941068" w:rsidRPr="00484D57" w:rsidRDefault="00941068" w:rsidP="00B65B08">
      <w:pPr>
        <w:pStyle w:val="ListParagraph"/>
        <w:numPr>
          <w:ilvl w:val="0"/>
          <w:numId w:val="17"/>
        </w:numPr>
        <w:rPr>
          <w:rFonts w:ascii="Verdana" w:hAnsi="Verdana"/>
          <w:b/>
          <w:sz w:val="24"/>
          <w:szCs w:val="24"/>
        </w:rPr>
      </w:pPr>
      <w:r w:rsidRPr="00484D57">
        <w:rPr>
          <w:rFonts w:ascii="Verdana" w:hAnsi="Verdana"/>
          <w:b/>
          <w:sz w:val="24"/>
          <w:szCs w:val="24"/>
        </w:rPr>
        <w:t>Shun them. Stop working for the bad guys and stop associating with them. Just being connected with them is poison.</w:t>
      </w:r>
      <w:r w:rsidR="00410CA9">
        <w:rPr>
          <w:rFonts w:ascii="Verdana" w:hAnsi="Verdana"/>
          <w:b/>
          <w:sz w:val="24"/>
          <w:szCs w:val="24"/>
        </w:rPr>
        <w:br/>
      </w:r>
      <w:r w:rsidR="00410CA9">
        <w:rPr>
          <w:rFonts w:ascii="Verdana" w:hAnsi="Verdana"/>
          <w:b/>
          <w:sz w:val="24"/>
          <w:szCs w:val="24"/>
        </w:rPr>
        <w:br/>
      </w:r>
      <w:r w:rsidR="00410CA9">
        <w:rPr>
          <w:rFonts w:ascii="Verdana" w:hAnsi="Verdana"/>
          <w:i/>
          <w:sz w:val="24"/>
          <w:szCs w:val="24"/>
        </w:rPr>
        <w:t>This takes intestinal fortitude, particularly for parties that benefit from the “support” provided by the large auditing firms (e.g., academics</w:t>
      </w:r>
      <w:r w:rsidR="00DD0C39">
        <w:rPr>
          <w:rFonts w:ascii="Verdana" w:hAnsi="Verdana"/>
          <w:i/>
          <w:sz w:val="24"/>
          <w:szCs w:val="24"/>
        </w:rPr>
        <w:t>, business schools, etc.</w:t>
      </w:r>
      <w:r w:rsidR="00410CA9">
        <w:rPr>
          <w:rFonts w:ascii="Verdana" w:hAnsi="Verdana"/>
          <w:i/>
          <w:sz w:val="24"/>
          <w:szCs w:val="24"/>
        </w:rPr>
        <w:t xml:space="preserve">). In the case of </w:t>
      </w:r>
      <w:r w:rsidR="00DD0C39">
        <w:rPr>
          <w:rFonts w:ascii="Verdana" w:hAnsi="Verdana"/>
          <w:i/>
          <w:sz w:val="24"/>
          <w:szCs w:val="24"/>
        </w:rPr>
        <w:t xml:space="preserve">B-schools that conveniently and mindlessly </w:t>
      </w:r>
      <w:r w:rsidR="00410CA9">
        <w:rPr>
          <w:rFonts w:ascii="Verdana" w:hAnsi="Verdana"/>
          <w:i/>
          <w:sz w:val="24"/>
          <w:szCs w:val="24"/>
        </w:rPr>
        <w:t xml:space="preserve">send their students to the Big </w:t>
      </w:r>
      <w:r w:rsidR="00DD0C39">
        <w:rPr>
          <w:rFonts w:ascii="Verdana" w:hAnsi="Verdana"/>
          <w:i/>
          <w:sz w:val="24"/>
          <w:szCs w:val="24"/>
        </w:rPr>
        <w:t>Four, are they really acting in the best interest of their students by sending them to work for firms that routinely commit accounting and auditing malpractice?  Is this ethical?</w:t>
      </w:r>
      <w:r w:rsidR="00410CA9">
        <w:rPr>
          <w:rFonts w:ascii="Verdana" w:hAnsi="Verdana"/>
          <w:i/>
          <w:sz w:val="24"/>
          <w:szCs w:val="24"/>
        </w:rPr>
        <w:br/>
      </w:r>
    </w:p>
    <w:p w:rsidR="00941068" w:rsidRDefault="00941068" w:rsidP="00B65B08">
      <w:pPr>
        <w:pStyle w:val="ListParagraph"/>
        <w:numPr>
          <w:ilvl w:val="0"/>
          <w:numId w:val="17"/>
        </w:numPr>
        <w:rPr>
          <w:rFonts w:ascii="Verdana" w:hAnsi="Verdana"/>
          <w:b/>
          <w:sz w:val="24"/>
          <w:szCs w:val="24"/>
        </w:rPr>
      </w:pPr>
      <w:r w:rsidRPr="00484D57">
        <w:rPr>
          <w:rFonts w:ascii="Verdana" w:hAnsi="Verdana"/>
          <w:b/>
          <w:sz w:val="24"/>
          <w:szCs w:val="24"/>
        </w:rPr>
        <w:t>Stop doing business with them.</w:t>
      </w:r>
      <w:r w:rsidR="00DD0C39">
        <w:rPr>
          <w:rFonts w:ascii="Verdana" w:hAnsi="Verdana"/>
          <w:b/>
          <w:sz w:val="24"/>
          <w:szCs w:val="24"/>
        </w:rPr>
        <w:br/>
      </w:r>
    </w:p>
    <w:p w:rsidR="00DD0C39" w:rsidRPr="00DD0C39" w:rsidRDefault="00DD0C39" w:rsidP="00DD0C39">
      <w:pPr>
        <w:pStyle w:val="ListParagraph"/>
        <w:rPr>
          <w:rFonts w:ascii="Verdana" w:hAnsi="Verdana"/>
          <w:i/>
          <w:sz w:val="24"/>
          <w:szCs w:val="24"/>
        </w:rPr>
      </w:pPr>
      <w:r>
        <w:rPr>
          <w:rFonts w:ascii="Verdana" w:hAnsi="Verdana"/>
          <w:i/>
          <w:sz w:val="24"/>
          <w:szCs w:val="24"/>
        </w:rPr>
        <w:t xml:space="preserve">The PCAOB needs to dismiss the “the too few to fail” argument promoted by the large accounting firms.  What is to be gained by perpetuating the illusion that public company audits are being done, when they are not?  The PCAOB needs to actively ban firms for their shoddy work.  </w:t>
      </w:r>
      <w:r w:rsidR="00E1403D">
        <w:rPr>
          <w:rFonts w:ascii="Verdana" w:hAnsi="Verdana"/>
          <w:i/>
          <w:sz w:val="24"/>
          <w:szCs w:val="24"/>
        </w:rPr>
        <w:t>Others will gradually fill the void filled by the offending firms.</w:t>
      </w:r>
      <w:r w:rsidR="00E1403D">
        <w:rPr>
          <w:rFonts w:ascii="Verdana" w:hAnsi="Verdana"/>
          <w:i/>
          <w:sz w:val="24"/>
          <w:szCs w:val="24"/>
        </w:rPr>
        <w:br/>
      </w:r>
    </w:p>
    <w:p w:rsidR="00484D57" w:rsidRPr="00E1403D" w:rsidRDefault="00E1403D" w:rsidP="00E1403D">
      <w:pPr>
        <w:pStyle w:val="ListParagraph"/>
        <w:numPr>
          <w:ilvl w:val="0"/>
          <w:numId w:val="17"/>
        </w:numPr>
        <w:rPr>
          <w:rFonts w:ascii="Verdana" w:hAnsi="Verdana"/>
          <w:sz w:val="24"/>
          <w:szCs w:val="24"/>
        </w:rPr>
      </w:pPr>
      <w:r w:rsidRPr="00E1403D">
        <w:rPr>
          <w:rFonts w:ascii="Verdana" w:hAnsi="Verdana"/>
          <w:b/>
          <w:sz w:val="24"/>
          <w:szCs w:val="24"/>
        </w:rPr>
        <w:t>Trust, but verify.</w:t>
      </w:r>
      <w:r w:rsidRPr="00E1403D">
        <w:rPr>
          <w:rFonts w:ascii="Verdana" w:hAnsi="Verdana"/>
          <w:b/>
          <w:sz w:val="24"/>
          <w:szCs w:val="24"/>
        </w:rPr>
        <w:br/>
      </w:r>
      <w:r w:rsidRPr="00E1403D">
        <w:rPr>
          <w:rFonts w:ascii="Verdana" w:hAnsi="Verdana"/>
          <w:b/>
          <w:sz w:val="24"/>
          <w:szCs w:val="24"/>
        </w:rPr>
        <w:br/>
      </w:r>
      <w:r>
        <w:rPr>
          <w:rFonts w:ascii="Verdana" w:hAnsi="Verdana"/>
          <w:i/>
          <w:sz w:val="24"/>
          <w:szCs w:val="24"/>
        </w:rPr>
        <w:t>Consider use of a “joint audit” approach where two firms are engaged to audit a company.  This might actually promote competence and independence.</w:t>
      </w:r>
    </w:p>
    <w:p w:rsidR="00941068" w:rsidRPr="00941068" w:rsidRDefault="00941068" w:rsidP="00941068">
      <w:pPr>
        <w:pBdr>
          <w:bottom w:val="thinThickThinMediumGap" w:sz="18" w:space="0" w:color="auto"/>
        </w:pBdr>
        <w:rPr>
          <w:rFonts w:ascii="Verdana" w:hAnsi="Verdana"/>
          <w:sz w:val="24"/>
          <w:szCs w:val="24"/>
        </w:rPr>
      </w:pPr>
      <w:r w:rsidRPr="00941068">
        <w:rPr>
          <w:rFonts w:ascii="Verdana" w:hAnsi="Verdana"/>
          <w:sz w:val="24"/>
          <w:szCs w:val="24"/>
        </w:rPr>
        <w:t xml:space="preserve"> </w:t>
      </w:r>
    </w:p>
    <w:p w:rsidR="00941068" w:rsidRPr="00941068" w:rsidRDefault="00E1403D" w:rsidP="00941068">
      <w:pPr>
        <w:pBdr>
          <w:bottom w:val="thinThickThinMediumGap" w:sz="18" w:space="0" w:color="auto"/>
        </w:pBdr>
        <w:rPr>
          <w:rFonts w:ascii="Verdana" w:hAnsi="Verdana"/>
          <w:sz w:val="24"/>
          <w:szCs w:val="24"/>
        </w:rPr>
      </w:pPr>
      <w:r>
        <w:rPr>
          <w:rFonts w:ascii="Verdana" w:hAnsi="Verdana"/>
          <w:sz w:val="24"/>
          <w:szCs w:val="24"/>
        </w:rPr>
        <w:t xml:space="preserve">We have one other </w:t>
      </w:r>
      <w:r w:rsidR="007812EF">
        <w:rPr>
          <w:rFonts w:ascii="Verdana" w:hAnsi="Verdana"/>
          <w:sz w:val="24"/>
          <w:szCs w:val="24"/>
        </w:rPr>
        <w:t xml:space="preserve">rather obvious </w:t>
      </w:r>
      <w:r w:rsidR="00941068" w:rsidRPr="00941068">
        <w:rPr>
          <w:rFonts w:ascii="Verdana" w:hAnsi="Verdana"/>
          <w:sz w:val="24"/>
          <w:szCs w:val="24"/>
        </w:rPr>
        <w:t>suggestion</w:t>
      </w:r>
      <w:r w:rsidR="007812EF">
        <w:rPr>
          <w:rFonts w:ascii="Verdana" w:hAnsi="Verdana"/>
          <w:sz w:val="24"/>
          <w:szCs w:val="24"/>
        </w:rPr>
        <w:t xml:space="preserve">: </w:t>
      </w:r>
      <w:r w:rsidR="007812EF" w:rsidRPr="007812EF">
        <w:rPr>
          <w:rFonts w:ascii="Verdana" w:hAnsi="Verdana"/>
          <w:b/>
          <w:i/>
          <w:sz w:val="24"/>
          <w:szCs w:val="24"/>
        </w:rPr>
        <w:t>me</w:t>
      </w:r>
      <w:r w:rsidR="00941068" w:rsidRPr="007812EF">
        <w:rPr>
          <w:rFonts w:ascii="Verdana" w:hAnsi="Verdana"/>
          <w:b/>
          <w:i/>
          <w:sz w:val="24"/>
          <w:szCs w:val="24"/>
        </w:rPr>
        <w:t>aningful enforcement of existing regulations</w:t>
      </w:r>
      <w:r w:rsidR="00941068" w:rsidRPr="00941068">
        <w:rPr>
          <w:rFonts w:ascii="Verdana" w:hAnsi="Verdana"/>
          <w:sz w:val="24"/>
          <w:szCs w:val="24"/>
        </w:rPr>
        <w:t>.  No</w:t>
      </w:r>
      <w:r w:rsidR="007812EF">
        <w:rPr>
          <w:rFonts w:ascii="Verdana" w:hAnsi="Verdana"/>
          <w:sz w:val="24"/>
          <w:szCs w:val="24"/>
        </w:rPr>
        <w:t xml:space="preserve"> rule changes required…just make sure that auditors and accountants actually </w:t>
      </w:r>
      <w:r w:rsidR="00941068" w:rsidRPr="00941068">
        <w:rPr>
          <w:rFonts w:ascii="Verdana" w:hAnsi="Verdana"/>
          <w:sz w:val="24"/>
          <w:szCs w:val="24"/>
        </w:rPr>
        <w:t>do their jobs.</w:t>
      </w:r>
      <w:r w:rsidR="007812EF">
        <w:rPr>
          <w:rFonts w:ascii="Verdana" w:hAnsi="Verdana"/>
          <w:sz w:val="24"/>
          <w:szCs w:val="24"/>
        </w:rPr>
        <w:t xml:space="preserve">  </w:t>
      </w:r>
      <w:r w:rsidR="00941068" w:rsidRPr="00941068">
        <w:rPr>
          <w:rFonts w:ascii="Verdana" w:hAnsi="Verdana"/>
          <w:sz w:val="24"/>
          <w:szCs w:val="24"/>
        </w:rPr>
        <w:t>We need to demand meaningful consequences to accounting and audit malpractice.</w:t>
      </w:r>
      <w:r w:rsidR="007812EF">
        <w:rPr>
          <w:rFonts w:ascii="Verdana" w:hAnsi="Verdana"/>
          <w:sz w:val="24"/>
          <w:szCs w:val="24"/>
        </w:rPr>
        <w:br/>
      </w:r>
    </w:p>
    <w:p w:rsidR="0054490C" w:rsidRDefault="00C74D64" w:rsidP="00941068">
      <w:pPr>
        <w:pBdr>
          <w:bottom w:val="thinThickThinMediumGap" w:sz="18" w:space="0" w:color="auto"/>
        </w:pBdr>
        <w:rPr>
          <w:rFonts w:ascii="Verdana" w:hAnsi="Verdana"/>
          <w:sz w:val="24"/>
          <w:szCs w:val="24"/>
        </w:rPr>
      </w:pPr>
      <w:r>
        <w:rPr>
          <w:rFonts w:ascii="Verdana" w:hAnsi="Verdana"/>
          <w:sz w:val="24"/>
          <w:szCs w:val="24"/>
        </w:rPr>
        <w:t xml:space="preserve">The evidence suggests </w:t>
      </w:r>
      <w:r w:rsidR="00941068" w:rsidRPr="00941068">
        <w:rPr>
          <w:rFonts w:ascii="Verdana" w:hAnsi="Verdana"/>
          <w:sz w:val="24"/>
          <w:szCs w:val="24"/>
        </w:rPr>
        <w:t xml:space="preserve">that accountants </w:t>
      </w:r>
      <w:r>
        <w:rPr>
          <w:rFonts w:ascii="Verdana" w:hAnsi="Verdana"/>
          <w:sz w:val="24"/>
          <w:szCs w:val="24"/>
        </w:rPr>
        <w:t xml:space="preserve">and auditors today </w:t>
      </w:r>
      <w:r w:rsidR="00941068" w:rsidRPr="00941068">
        <w:rPr>
          <w:rFonts w:ascii="Verdana" w:hAnsi="Verdana"/>
          <w:sz w:val="24"/>
          <w:szCs w:val="24"/>
        </w:rPr>
        <w:t>can shirk their audit responsibilities to the public with little or no lasting harm to themselves</w:t>
      </w:r>
      <w:r>
        <w:rPr>
          <w:rFonts w:ascii="Verdana" w:hAnsi="Verdana"/>
          <w:sz w:val="24"/>
          <w:szCs w:val="24"/>
        </w:rPr>
        <w:t>, and surely, not as much hurt</w:t>
      </w:r>
      <w:r w:rsidR="00941068" w:rsidRPr="00941068">
        <w:rPr>
          <w:rFonts w:ascii="Verdana" w:hAnsi="Verdana"/>
          <w:sz w:val="24"/>
          <w:szCs w:val="24"/>
        </w:rPr>
        <w:t xml:space="preserve"> as they </w:t>
      </w:r>
      <w:r>
        <w:rPr>
          <w:rFonts w:ascii="Verdana" w:hAnsi="Verdana"/>
          <w:sz w:val="24"/>
          <w:szCs w:val="24"/>
        </w:rPr>
        <w:t xml:space="preserve">have </w:t>
      </w:r>
      <w:r w:rsidR="00941068" w:rsidRPr="00941068">
        <w:rPr>
          <w:rFonts w:ascii="Verdana" w:hAnsi="Verdana"/>
          <w:sz w:val="24"/>
          <w:szCs w:val="24"/>
        </w:rPr>
        <w:t xml:space="preserve">caused the investing </w:t>
      </w:r>
      <w:r w:rsidR="00941068" w:rsidRPr="00941068">
        <w:rPr>
          <w:rFonts w:ascii="Verdana" w:hAnsi="Verdana"/>
          <w:sz w:val="24"/>
          <w:szCs w:val="24"/>
        </w:rPr>
        <w:lastRenderedPageBreak/>
        <w:t>public</w:t>
      </w:r>
      <w:r>
        <w:rPr>
          <w:rFonts w:ascii="Verdana" w:hAnsi="Verdana"/>
          <w:sz w:val="24"/>
          <w:szCs w:val="24"/>
        </w:rPr>
        <w:t xml:space="preserve"> (see </w:t>
      </w:r>
      <w:hyperlink r:id="rId17" w:history="1">
        <w:r w:rsidRPr="00C74D64">
          <w:rPr>
            <w:rStyle w:val="Hyperlink"/>
            <w:rFonts w:ascii="Verdana" w:hAnsi="Verdana"/>
            <w:sz w:val="24"/>
            <w:szCs w:val="24"/>
          </w:rPr>
          <w:t>Paper Tigers: The U.S Accounting Oversight Regime</w:t>
        </w:r>
      </w:hyperlink>
      <w:r>
        <w:rPr>
          <w:rFonts w:ascii="Verdana" w:hAnsi="Verdana"/>
          <w:sz w:val="24"/>
          <w:szCs w:val="24"/>
        </w:rPr>
        <w:t xml:space="preserve"> and </w:t>
      </w:r>
      <w:hyperlink r:id="rId18" w:history="1">
        <w:r w:rsidRPr="0054490C">
          <w:rPr>
            <w:rStyle w:val="Hyperlink"/>
            <w:rFonts w:ascii="Verdana" w:hAnsi="Verdana"/>
            <w:sz w:val="24"/>
            <w:szCs w:val="24"/>
          </w:rPr>
          <w:t>Accountants Behaving Badly</w:t>
        </w:r>
      </w:hyperlink>
      <w:r>
        <w:rPr>
          <w:rFonts w:ascii="Verdana" w:hAnsi="Verdana"/>
          <w:sz w:val="24"/>
          <w:szCs w:val="24"/>
        </w:rPr>
        <w:t>)</w:t>
      </w:r>
      <w:r w:rsidR="00941068" w:rsidRPr="00941068">
        <w:rPr>
          <w:rFonts w:ascii="Verdana" w:hAnsi="Verdana"/>
          <w:sz w:val="24"/>
          <w:szCs w:val="24"/>
        </w:rPr>
        <w:t xml:space="preserve">.  The public should be outraged that </w:t>
      </w:r>
      <w:r w:rsidR="0054490C">
        <w:rPr>
          <w:rFonts w:ascii="Verdana" w:hAnsi="Verdana"/>
          <w:sz w:val="24"/>
          <w:szCs w:val="24"/>
        </w:rPr>
        <w:t xml:space="preserve">few, if any, Big Four </w:t>
      </w:r>
      <w:r w:rsidR="00941068" w:rsidRPr="00941068">
        <w:rPr>
          <w:rFonts w:ascii="Verdana" w:hAnsi="Verdana"/>
          <w:sz w:val="24"/>
          <w:szCs w:val="24"/>
        </w:rPr>
        <w:t xml:space="preserve">accountants </w:t>
      </w:r>
      <w:r w:rsidR="0054490C">
        <w:rPr>
          <w:rFonts w:ascii="Verdana" w:hAnsi="Verdana"/>
          <w:sz w:val="24"/>
          <w:szCs w:val="24"/>
        </w:rPr>
        <w:t xml:space="preserve">actually lose </w:t>
      </w:r>
      <w:r w:rsidR="00941068" w:rsidRPr="00941068">
        <w:rPr>
          <w:rFonts w:ascii="Verdana" w:hAnsi="Verdana"/>
          <w:sz w:val="24"/>
          <w:szCs w:val="24"/>
        </w:rPr>
        <w:t>their license</w:t>
      </w:r>
      <w:r w:rsidR="0054490C">
        <w:rPr>
          <w:rFonts w:ascii="Verdana" w:hAnsi="Verdana"/>
          <w:sz w:val="24"/>
          <w:szCs w:val="24"/>
        </w:rPr>
        <w:t>s</w:t>
      </w:r>
      <w:r w:rsidR="00941068" w:rsidRPr="00941068">
        <w:rPr>
          <w:rFonts w:ascii="Verdana" w:hAnsi="Verdana"/>
          <w:sz w:val="24"/>
          <w:szCs w:val="24"/>
        </w:rPr>
        <w:t xml:space="preserve"> permanently, and </w:t>
      </w:r>
      <w:r w:rsidR="0054490C">
        <w:rPr>
          <w:rFonts w:ascii="Verdana" w:hAnsi="Verdana"/>
          <w:sz w:val="24"/>
          <w:szCs w:val="24"/>
        </w:rPr>
        <w:t xml:space="preserve">are free </w:t>
      </w:r>
      <w:r w:rsidR="00941068" w:rsidRPr="00941068">
        <w:rPr>
          <w:rFonts w:ascii="Verdana" w:hAnsi="Verdana"/>
          <w:sz w:val="24"/>
          <w:szCs w:val="24"/>
        </w:rPr>
        <w:t xml:space="preserve">to prey on the trust of the unsuspecting investor.  </w:t>
      </w:r>
    </w:p>
    <w:p w:rsidR="0054490C" w:rsidRDefault="0054490C" w:rsidP="00941068">
      <w:pPr>
        <w:pBdr>
          <w:bottom w:val="thinThickThinMediumGap" w:sz="18" w:space="0" w:color="auto"/>
        </w:pBdr>
        <w:rPr>
          <w:rFonts w:ascii="Verdana" w:hAnsi="Verdana"/>
          <w:sz w:val="24"/>
          <w:szCs w:val="24"/>
        </w:rPr>
      </w:pPr>
    </w:p>
    <w:p w:rsidR="00941068" w:rsidRPr="00941068" w:rsidRDefault="00941068" w:rsidP="00941068">
      <w:pPr>
        <w:pBdr>
          <w:bottom w:val="thinThickThinMediumGap" w:sz="18" w:space="0" w:color="auto"/>
        </w:pBdr>
        <w:rPr>
          <w:rFonts w:ascii="Verdana" w:hAnsi="Verdana"/>
          <w:sz w:val="24"/>
          <w:szCs w:val="24"/>
        </w:rPr>
      </w:pPr>
      <w:r w:rsidRPr="00941068">
        <w:rPr>
          <w:rFonts w:ascii="Verdana" w:hAnsi="Verdana"/>
          <w:sz w:val="24"/>
          <w:szCs w:val="24"/>
        </w:rPr>
        <w:t>So what can we do to wake people up to this lac</w:t>
      </w:r>
      <w:r w:rsidR="0054490C">
        <w:rPr>
          <w:rFonts w:ascii="Verdana" w:hAnsi="Verdana"/>
          <w:sz w:val="24"/>
          <w:szCs w:val="24"/>
        </w:rPr>
        <w:t xml:space="preserve">k of regulatory enforcement?  We </w:t>
      </w:r>
      <w:r w:rsidRPr="00941068">
        <w:rPr>
          <w:rFonts w:ascii="Verdana" w:hAnsi="Verdana"/>
          <w:sz w:val="24"/>
          <w:szCs w:val="24"/>
        </w:rPr>
        <w:t xml:space="preserve">have an idea that </w:t>
      </w:r>
      <w:r w:rsidR="0054490C">
        <w:rPr>
          <w:rFonts w:ascii="Verdana" w:hAnsi="Verdana"/>
          <w:sz w:val="24"/>
          <w:szCs w:val="24"/>
        </w:rPr>
        <w:t>likely will scare quite a few people:</w:t>
      </w:r>
      <w:r w:rsidRPr="00941068">
        <w:rPr>
          <w:rFonts w:ascii="Verdana" w:hAnsi="Verdana"/>
          <w:sz w:val="24"/>
          <w:szCs w:val="24"/>
        </w:rPr>
        <w:t xml:space="preserve"> a Megan’s list for accountants </w:t>
      </w:r>
      <w:r w:rsidR="0054490C">
        <w:rPr>
          <w:rFonts w:ascii="Verdana" w:hAnsi="Verdana"/>
          <w:sz w:val="24"/>
          <w:szCs w:val="24"/>
        </w:rPr>
        <w:t xml:space="preserve">that details all regulatory actions against accountants and auditors.  </w:t>
      </w:r>
      <w:r w:rsidRPr="00941068">
        <w:rPr>
          <w:rFonts w:ascii="Verdana" w:hAnsi="Verdana"/>
          <w:sz w:val="24"/>
          <w:szCs w:val="24"/>
        </w:rPr>
        <w:t xml:space="preserve">Let’s let the public know that these </w:t>
      </w:r>
      <w:r w:rsidR="0054490C">
        <w:rPr>
          <w:rFonts w:ascii="Verdana" w:hAnsi="Verdana"/>
          <w:sz w:val="24"/>
          <w:szCs w:val="24"/>
        </w:rPr>
        <w:t xml:space="preserve">fake </w:t>
      </w:r>
      <w:r w:rsidR="00966CA6">
        <w:rPr>
          <w:rFonts w:ascii="Verdana" w:hAnsi="Verdana"/>
          <w:sz w:val="24"/>
          <w:szCs w:val="24"/>
        </w:rPr>
        <w:t>auditors are</w:t>
      </w:r>
      <w:r w:rsidR="0054490C">
        <w:rPr>
          <w:rFonts w:ascii="Verdana" w:hAnsi="Verdana"/>
          <w:sz w:val="24"/>
          <w:szCs w:val="24"/>
        </w:rPr>
        <w:t xml:space="preserve"> still out there </w:t>
      </w:r>
      <w:r w:rsidRPr="00941068">
        <w:rPr>
          <w:rFonts w:ascii="Verdana" w:hAnsi="Verdana"/>
          <w:sz w:val="24"/>
          <w:szCs w:val="24"/>
        </w:rPr>
        <w:t>practicing.</w:t>
      </w:r>
      <w:r w:rsidR="0054490C">
        <w:rPr>
          <w:rFonts w:ascii="Verdana" w:hAnsi="Verdana"/>
          <w:sz w:val="24"/>
          <w:szCs w:val="24"/>
        </w:rPr>
        <w:t xml:space="preserve">  A bit too extreme </w:t>
      </w:r>
      <w:r w:rsidRPr="00941068">
        <w:rPr>
          <w:rFonts w:ascii="Verdana" w:hAnsi="Verdana"/>
          <w:sz w:val="24"/>
          <w:szCs w:val="24"/>
        </w:rPr>
        <w:t xml:space="preserve">you say?  </w:t>
      </w:r>
      <w:r w:rsidR="0054490C">
        <w:rPr>
          <w:rFonts w:ascii="Verdana" w:hAnsi="Verdana"/>
          <w:sz w:val="24"/>
          <w:szCs w:val="24"/>
        </w:rPr>
        <w:t>Okay, l</w:t>
      </w:r>
      <w:r w:rsidRPr="00941068">
        <w:rPr>
          <w:rFonts w:ascii="Verdana" w:hAnsi="Verdana"/>
          <w:sz w:val="24"/>
          <w:szCs w:val="24"/>
        </w:rPr>
        <w:t xml:space="preserve">et’s just </w:t>
      </w:r>
      <w:r w:rsidR="0054490C">
        <w:rPr>
          <w:rFonts w:ascii="Verdana" w:hAnsi="Verdana"/>
          <w:sz w:val="24"/>
          <w:szCs w:val="24"/>
        </w:rPr>
        <w:t>continue writing</w:t>
      </w:r>
      <w:r w:rsidRPr="00941068">
        <w:rPr>
          <w:rFonts w:ascii="Verdana" w:hAnsi="Verdana"/>
          <w:sz w:val="24"/>
          <w:szCs w:val="24"/>
        </w:rPr>
        <w:t xml:space="preserve"> about all these cases and post</w:t>
      </w:r>
      <w:r w:rsidR="0054490C">
        <w:rPr>
          <w:rFonts w:ascii="Verdana" w:hAnsi="Verdana"/>
          <w:sz w:val="24"/>
          <w:szCs w:val="24"/>
        </w:rPr>
        <w:t>ing commentary</w:t>
      </w:r>
      <w:r w:rsidRPr="00941068">
        <w:rPr>
          <w:rFonts w:ascii="Verdana" w:hAnsi="Verdana"/>
          <w:sz w:val="24"/>
          <w:szCs w:val="24"/>
        </w:rPr>
        <w:t xml:space="preserve"> on the informa</w:t>
      </w:r>
      <w:r w:rsidR="0054490C">
        <w:rPr>
          <w:rFonts w:ascii="Verdana" w:hAnsi="Verdana"/>
          <w:sz w:val="24"/>
          <w:szCs w:val="24"/>
        </w:rPr>
        <w:t>tion superhighway.</w:t>
      </w:r>
      <w:r w:rsidRPr="00941068">
        <w:rPr>
          <w:rFonts w:ascii="Verdana" w:hAnsi="Verdana"/>
          <w:sz w:val="24"/>
          <w:szCs w:val="24"/>
        </w:rPr>
        <w:t xml:space="preserve">  </w:t>
      </w:r>
    </w:p>
    <w:p w:rsidR="00941068" w:rsidRPr="00093316" w:rsidRDefault="00941068" w:rsidP="005679C2">
      <w:pPr>
        <w:pBdr>
          <w:bottom w:val="thinThickThinMediumGap" w:sz="18" w:space="0" w:color="auto"/>
        </w:pBdr>
        <w:rPr>
          <w:rFonts w:ascii="Verdana" w:hAnsi="Verdana"/>
          <w:sz w:val="24"/>
          <w:szCs w:val="24"/>
        </w:rPr>
      </w:pPr>
    </w:p>
    <w:p w:rsidR="005679C2" w:rsidRPr="00F734B3" w:rsidRDefault="005679C2" w:rsidP="005679C2">
      <w:pPr>
        <w:pStyle w:val="BodyText"/>
        <w:spacing w:line="240" w:lineRule="auto"/>
        <w:rPr>
          <w:rFonts w:ascii="Verdana" w:hAnsi="Verdana"/>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F734B3" w:rsidRPr="00A56122" w:rsidRDefault="00F734B3" w:rsidP="00F734B3">
      <w:pPr>
        <w:pBdr>
          <w:bottom w:val="thinThickThinMediumGap" w:sz="18" w:space="0" w:color="auto"/>
        </w:pBdr>
        <w:rPr>
          <w:rFonts w:ascii="Verdana" w:hAnsi="Verdana"/>
        </w:rPr>
      </w:pPr>
    </w:p>
    <w:p w:rsidR="00F734B3" w:rsidRPr="00A56122" w:rsidRDefault="00F734B3" w:rsidP="00F734B3">
      <w:pPr>
        <w:pStyle w:val="BodyTextIndent"/>
        <w:spacing w:after="0"/>
        <w:ind w:left="0"/>
        <w:rPr>
          <w:rFonts w:ascii="Verdana" w:hAnsi="Verdana"/>
          <w:sz w:val="24"/>
          <w:szCs w:val="24"/>
        </w:rPr>
      </w:pPr>
    </w:p>
    <w:p w:rsidR="00F734B3" w:rsidRPr="00A56122" w:rsidRDefault="00F734B3" w:rsidP="00383ECD">
      <w:pPr>
        <w:rPr>
          <w:rFonts w:ascii="Verdana" w:hAnsi="Verdana" w:cs="Arial"/>
          <w:sz w:val="24"/>
          <w:szCs w:val="24"/>
        </w:rPr>
      </w:pPr>
    </w:p>
    <w:sectPr w:rsidR="00F734B3"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17C0"/>
    <w:multiLevelType w:val="hybridMultilevel"/>
    <w:tmpl w:val="BE72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902B4"/>
    <w:multiLevelType w:val="hybridMultilevel"/>
    <w:tmpl w:val="A5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F36CD"/>
    <w:multiLevelType w:val="hybridMultilevel"/>
    <w:tmpl w:val="7150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852F7A"/>
    <w:multiLevelType w:val="hybridMultilevel"/>
    <w:tmpl w:val="3F52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nsid w:val="53326F68"/>
    <w:multiLevelType w:val="hybridMultilevel"/>
    <w:tmpl w:val="39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F1856"/>
    <w:multiLevelType w:val="hybridMultilevel"/>
    <w:tmpl w:val="C326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33ECB"/>
    <w:multiLevelType w:val="hybridMultilevel"/>
    <w:tmpl w:val="5B5AD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E02B77"/>
    <w:multiLevelType w:val="hybridMultilevel"/>
    <w:tmpl w:val="B53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DC54AE"/>
    <w:multiLevelType w:val="hybridMultilevel"/>
    <w:tmpl w:val="DE72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15"/>
  </w:num>
  <w:num w:numId="6">
    <w:abstractNumId w:val="7"/>
  </w:num>
  <w:num w:numId="7">
    <w:abstractNumId w:val="9"/>
  </w:num>
  <w:num w:numId="8">
    <w:abstractNumId w:val="5"/>
  </w:num>
  <w:num w:numId="9">
    <w:abstractNumId w:val="16"/>
  </w:num>
  <w:num w:numId="10">
    <w:abstractNumId w:val="12"/>
  </w:num>
  <w:num w:numId="11">
    <w:abstractNumId w:val="3"/>
  </w:num>
  <w:num w:numId="12">
    <w:abstractNumId w:val="0"/>
  </w:num>
  <w:num w:numId="13">
    <w:abstractNumId w:val="10"/>
  </w:num>
  <w:num w:numId="14">
    <w:abstractNumId w:val="13"/>
  </w:num>
  <w:num w:numId="15">
    <w:abstractNumId w:val="14"/>
  </w:num>
  <w:num w:numId="16">
    <w:abstractNumId w:val="4"/>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627B"/>
    <w:rsid w:val="0000285F"/>
    <w:rsid w:val="0001223C"/>
    <w:rsid w:val="00032D82"/>
    <w:rsid w:val="000374C2"/>
    <w:rsid w:val="00043E38"/>
    <w:rsid w:val="00046753"/>
    <w:rsid w:val="00056DAE"/>
    <w:rsid w:val="00070FC4"/>
    <w:rsid w:val="00080D90"/>
    <w:rsid w:val="00081916"/>
    <w:rsid w:val="00083C89"/>
    <w:rsid w:val="0008518C"/>
    <w:rsid w:val="00093316"/>
    <w:rsid w:val="000A52AA"/>
    <w:rsid w:val="000C0DAE"/>
    <w:rsid w:val="000C51FE"/>
    <w:rsid w:val="000D547E"/>
    <w:rsid w:val="000E2E4F"/>
    <w:rsid w:val="000F37E7"/>
    <w:rsid w:val="00101329"/>
    <w:rsid w:val="00112EF4"/>
    <w:rsid w:val="00142392"/>
    <w:rsid w:val="001534BA"/>
    <w:rsid w:val="00166500"/>
    <w:rsid w:val="001823C4"/>
    <w:rsid w:val="001912CC"/>
    <w:rsid w:val="001978FB"/>
    <w:rsid w:val="001A1941"/>
    <w:rsid w:val="001A35D6"/>
    <w:rsid w:val="001A441A"/>
    <w:rsid w:val="001A523B"/>
    <w:rsid w:val="001A5685"/>
    <w:rsid w:val="001A63DD"/>
    <w:rsid w:val="001B7207"/>
    <w:rsid w:val="001C3948"/>
    <w:rsid w:val="001C5C9F"/>
    <w:rsid w:val="00215FD8"/>
    <w:rsid w:val="002254DA"/>
    <w:rsid w:val="00251D00"/>
    <w:rsid w:val="00257384"/>
    <w:rsid w:val="002713C6"/>
    <w:rsid w:val="00285D9E"/>
    <w:rsid w:val="0029409E"/>
    <w:rsid w:val="002A35CE"/>
    <w:rsid w:val="002B0A9D"/>
    <w:rsid w:val="002B29A5"/>
    <w:rsid w:val="00316C9F"/>
    <w:rsid w:val="003259CE"/>
    <w:rsid w:val="00325C01"/>
    <w:rsid w:val="003473CE"/>
    <w:rsid w:val="00383ECD"/>
    <w:rsid w:val="00387AD3"/>
    <w:rsid w:val="0039366C"/>
    <w:rsid w:val="00394F33"/>
    <w:rsid w:val="003A627B"/>
    <w:rsid w:val="003C370E"/>
    <w:rsid w:val="003E24C7"/>
    <w:rsid w:val="003F6FEC"/>
    <w:rsid w:val="00410CA9"/>
    <w:rsid w:val="00441449"/>
    <w:rsid w:val="004534FA"/>
    <w:rsid w:val="00465E6E"/>
    <w:rsid w:val="00471A13"/>
    <w:rsid w:val="00484D57"/>
    <w:rsid w:val="004960CF"/>
    <w:rsid w:val="00496266"/>
    <w:rsid w:val="004B6B32"/>
    <w:rsid w:val="004C05A7"/>
    <w:rsid w:val="004D6BFC"/>
    <w:rsid w:val="004E16D3"/>
    <w:rsid w:val="004E2734"/>
    <w:rsid w:val="004E7B9C"/>
    <w:rsid w:val="0050716A"/>
    <w:rsid w:val="0054490C"/>
    <w:rsid w:val="00547265"/>
    <w:rsid w:val="0055376D"/>
    <w:rsid w:val="0056118E"/>
    <w:rsid w:val="00564E1A"/>
    <w:rsid w:val="005679C2"/>
    <w:rsid w:val="00576F34"/>
    <w:rsid w:val="005865D0"/>
    <w:rsid w:val="00586757"/>
    <w:rsid w:val="005877D3"/>
    <w:rsid w:val="005B7BA1"/>
    <w:rsid w:val="005C05E4"/>
    <w:rsid w:val="005C285B"/>
    <w:rsid w:val="005C7FC3"/>
    <w:rsid w:val="005E7ED6"/>
    <w:rsid w:val="00611B75"/>
    <w:rsid w:val="00626CA8"/>
    <w:rsid w:val="00642B98"/>
    <w:rsid w:val="00654AEE"/>
    <w:rsid w:val="006A7CF1"/>
    <w:rsid w:val="006A7E56"/>
    <w:rsid w:val="006B5167"/>
    <w:rsid w:val="00701811"/>
    <w:rsid w:val="00701F7E"/>
    <w:rsid w:val="007069CC"/>
    <w:rsid w:val="00714F76"/>
    <w:rsid w:val="00721587"/>
    <w:rsid w:val="0072762D"/>
    <w:rsid w:val="007310E9"/>
    <w:rsid w:val="00741CC4"/>
    <w:rsid w:val="0075714F"/>
    <w:rsid w:val="00762F72"/>
    <w:rsid w:val="007720CA"/>
    <w:rsid w:val="007812EF"/>
    <w:rsid w:val="007935E9"/>
    <w:rsid w:val="00795EDC"/>
    <w:rsid w:val="007A3645"/>
    <w:rsid w:val="007A54C7"/>
    <w:rsid w:val="007B54A0"/>
    <w:rsid w:val="007D30EB"/>
    <w:rsid w:val="007E274D"/>
    <w:rsid w:val="00800741"/>
    <w:rsid w:val="00821DC1"/>
    <w:rsid w:val="00825D4D"/>
    <w:rsid w:val="00830A0B"/>
    <w:rsid w:val="00834103"/>
    <w:rsid w:val="00843D76"/>
    <w:rsid w:val="00847F54"/>
    <w:rsid w:val="00874083"/>
    <w:rsid w:val="008773C8"/>
    <w:rsid w:val="00885921"/>
    <w:rsid w:val="008C3DA5"/>
    <w:rsid w:val="008C4A70"/>
    <w:rsid w:val="008D2071"/>
    <w:rsid w:val="00937477"/>
    <w:rsid w:val="00941068"/>
    <w:rsid w:val="00952126"/>
    <w:rsid w:val="009552D6"/>
    <w:rsid w:val="00966CA6"/>
    <w:rsid w:val="00974768"/>
    <w:rsid w:val="009A0991"/>
    <w:rsid w:val="009A26FD"/>
    <w:rsid w:val="009F4FF8"/>
    <w:rsid w:val="00A0057D"/>
    <w:rsid w:val="00A02E34"/>
    <w:rsid w:val="00A11437"/>
    <w:rsid w:val="00A2604A"/>
    <w:rsid w:val="00A501CA"/>
    <w:rsid w:val="00A56122"/>
    <w:rsid w:val="00A623DC"/>
    <w:rsid w:val="00A725CB"/>
    <w:rsid w:val="00A848B8"/>
    <w:rsid w:val="00AB5DEF"/>
    <w:rsid w:val="00AC081E"/>
    <w:rsid w:val="00AE44C0"/>
    <w:rsid w:val="00AE5150"/>
    <w:rsid w:val="00B020F8"/>
    <w:rsid w:val="00B06241"/>
    <w:rsid w:val="00B20912"/>
    <w:rsid w:val="00B22B1B"/>
    <w:rsid w:val="00B3143C"/>
    <w:rsid w:val="00B33841"/>
    <w:rsid w:val="00B47CEE"/>
    <w:rsid w:val="00B54E7A"/>
    <w:rsid w:val="00B65B08"/>
    <w:rsid w:val="00B663AB"/>
    <w:rsid w:val="00B7722F"/>
    <w:rsid w:val="00B91C46"/>
    <w:rsid w:val="00BB6235"/>
    <w:rsid w:val="00BC1DB8"/>
    <w:rsid w:val="00BD1C30"/>
    <w:rsid w:val="00BD4859"/>
    <w:rsid w:val="00BF4CC9"/>
    <w:rsid w:val="00BF5636"/>
    <w:rsid w:val="00BF663F"/>
    <w:rsid w:val="00C02A18"/>
    <w:rsid w:val="00C0326A"/>
    <w:rsid w:val="00C04A39"/>
    <w:rsid w:val="00C06C9A"/>
    <w:rsid w:val="00C14B68"/>
    <w:rsid w:val="00C17B64"/>
    <w:rsid w:val="00C25606"/>
    <w:rsid w:val="00C40DDB"/>
    <w:rsid w:val="00C5207C"/>
    <w:rsid w:val="00C57186"/>
    <w:rsid w:val="00C7386E"/>
    <w:rsid w:val="00C74D64"/>
    <w:rsid w:val="00C83508"/>
    <w:rsid w:val="00C86325"/>
    <w:rsid w:val="00CA4259"/>
    <w:rsid w:val="00CB7FD0"/>
    <w:rsid w:val="00CD05F7"/>
    <w:rsid w:val="00CD0E7F"/>
    <w:rsid w:val="00CF567E"/>
    <w:rsid w:val="00D005BC"/>
    <w:rsid w:val="00D04C30"/>
    <w:rsid w:val="00D10237"/>
    <w:rsid w:val="00D15B07"/>
    <w:rsid w:val="00D54EF4"/>
    <w:rsid w:val="00D552C9"/>
    <w:rsid w:val="00D7299A"/>
    <w:rsid w:val="00D96CB6"/>
    <w:rsid w:val="00DC497F"/>
    <w:rsid w:val="00DC6A24"/>
    <w:rsid w:val="00DD0C39"/>
    <w:rsid w:val="00DE6D0F"/>
    <w:rsid w:val="00DF0BCE"/>
    <w:rsid w:val="00E0278C"/>
    <w:rsid w:val="00E0530E"/>
    <w:rsid w:val="00E1403D"/>
    <w:rsid w:val="00E318EE"/>
    <w:rsid w:val="00E656F7"/>
    <w:rsid w:val="00E6651F"/>
    <w:rsid w:val="00E81155"/>
    <w:rsid w:val="00EA49F8"/>
    <w:rsid w:val="00EA73DD"/>
    <w:rsid w:val="00ED3830"/>
    <w:rsid w:val="00ED4CA7"/>
    <w:rsid w:val="00ED5DE9"/>
    <w:rsid w:val="00EE6A29"/>
    <w:rsid w:val="00EF3CB2"/>
    <w:rsid w:val="00F0140C"/>
    <w:rsid w:val="00F37BB7"/>
    <w:rsid w:val="00F460F1"/>
    <w:rsid w:val="00F7237C"/>
    <w:rsid w:val="00F734B3"/>
    <w:rsid w:val="00F8568F"/>
    <w:rsid w:val="00F95297"/>
    <w:rsid w:val="00FA305E"/>
    <w:rsid w:val="00FB06EB"/>
    <w:rsid w:val="00FC520E"/>
    <w:rsid w:val="00FC5D0E"/>
    <w:rsid w:val="00FC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ngconcern.com/2010/03/ernst-young-was-comfortable-with-lehmans-shady-accounting/" TargetMode="External"/><Relationship Id="rId13" Type="http://schemas.openxmlformats.org/officeDocument/2006/relationships/hyperlink" Target="http://www.businessweek.com/news/2011-03-30/dirty-little-secret-unravels-in-bermuda-blunder-jonathan-weil.html" TargetMode="External"/><Relationship Id="rId18" Type="http://schemas.openxmlformats.org/officeDocument/2006/relationships/hyperlink" Target="http://blogs.smeal.psu.edu/grumpyoldaccountants/archives/332" TargetMode="External"/><Relationship Id="rId3" Type="http://schemas.openxmlformats.org/officeDocument/2006/relationships/settings" Target="settings.xml"/><Relationship Id="rId7" Type="http://schemas.openxmlformats.org/officeDocument/2006/relationships/hyperlink" Target="http://www.bloomberg.com/news/2011-02-24/what-vikram-pandit-knew-and-when-he-knew-it-commentary-by-jonathan-weil.html" TargetMode="External"/><Relationship Id="rId12" Type="http://schemas.openxmlformats.org/officeDocument/2006/relationships/hyperlink" Target="http://profalbrecht.wordpress.com/2008/12/23/accounting-firms-lobbied-obama-for-ifrs/" TargetMode="External"/><Relationship Id="rId17" Type="http://schemas.openxmlformats.org/officeDocument/2006/relationships/hyperlink" Target="http://blogs.smeal.psu.edu/grumpyoldaccountants/archives/208" TargetMode="External"/><Relationship Id="rId2" Type="http://schemas.openxmlformats.org/officeDocument/2006/relationships/styles" Target="styles.xml"/><Relationship Id="rId16" Type="http://schemas.openxmlformats.org/officeDocument/2006/relationships/hyperlink" Target="http://www.sec.gov/complaint/tipscomplaint.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loomberg.com/news/2011-06-09/dirty-secrets-fester-in-50-year-relationships-jonathan-weil.html" TargetMode="External"/><Relationship Id="rId11" Type="http://schemas.openxmlformats.org/officeDocument/2006/relationships/hyperlink" Target="http://www.opensecrets.org" TargetMode="External"/><Relationship Id="rId5" Type="http://schemas.openxmlformats.org/officeDocument/2006/relationships/hyperlink" Target="http://pcaobus.org/News/Releases/Pages/03222011_AuditorsReportingModel.aspx" TargetMode="External"/><Relationship Id="rId15" Type="http://schemas.openxmlformats.org/officeDocument/2006/relationships/hyperlink" Target="http://retheauditors.com/2011/03/30/an-honest-services-crisis-professional-poison-and-a-chicago-connection/" TargetMode="External"/><Relationship Id="rId10" Type="http://schemas.openxmlformats.org/officeDocument/2006/relationships/hyperlink" Target="http://pcaobus.org/Enforcement/Decisions/Pages/default.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s.smeal.psu.edu/grumpyoldaccountants/archives/327" TargetMode="External"/><Relationship Id="rId14" Type="http://schemas.openxmlformats.org/officeDocument/2006/relationships/hyperlink" Target="http://retheauditors.com/2011/03/13/forbes-auditors-abandon-investors-on-liability-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2011-08-13T14:23:00Z</cp:lastPrinted>
  <dcterms:created xsi:type="dcterms:W3CDTF">2011-10-06T00:08:00Z</dcterms:created>
  <dcterms:modified xsi:type="dcterms:W3CDTF">2011-10-06T00:09:00Z</dcterms:modified>
</cp:coreProperties>
</file>