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155" w:rsidRDefault="00435B0B" w:rsidP="00E81155">
      <w:pPr>
        <w:rPr>
          <w:rFonts w:ascii="Arial" w:hAnsi="Arial" w:cs="Arial"/>
          <w:b/>
          <w:sz w:val="28"/>
          <w:szCs w:val="28"/>
        </w:rPr>
      </w:pPr>
      <w:r>
        <w:rPr>
          <w:rFonts w:ascii="Arial" w:hAnsi="Arial" w:cs="Arial"/>
          <w:b/>
          <w:sz w:val="28"/>
          <w:szCs w:val="28"/>
        </w:rPr>
        <w:t>GROUPON IS TECHNICALLY INSOLVENT</w:t>
      </w:r>
    </w:p>
    <w:p w:rsidR="00E81155" w:rsidRDefault="00E81155" w:rsidP="00E81155">
      <w:pPr>
        <w:rPr>
          <w:rFonts w:ascii="Arial" w:hAnsi="Arial" w:cs="Arial"/>
          <w:b/>
          <w:i/>
          <w:sz w:val="24"/>
          <w:szCs w:val="24"/>
        </w:rPr>
      </w:pPr>
      <w:r w:rsidRPr="0087771A">
        <w:rPr>
          <w:rFonts w:ascii="Arial" w:hAnsi="Arial" w:cs="Arial"/>
          <w:b/>
          <w:i/>
          <w:sz w:val="24"/>
          <w:szCs w:val="24"/>
        </w:rPr>
        <w:t>Anthony H. Catanach Jr. and J. Edward Ketz</w:t>
      </w:r>
    </w:p>
    <w:p w:rsidR="00E81155" w:rsidRDefault="00E81155" w:rsidP="00E81155">
      <w:pPr>
        <w:rPr>
          <w:rFonts w:ascii="Arial" w:hAnsi="Arial" w:cs="Arial"/>
          <w:b/>
          <w:i/>
          <w:sz w:val="24"/>
          <w:szCs w:val="24"/>
        </w:rPr>
      </w:pPr>
      <w:r>
        <w:rPr>
          <w:rFonts w:ascii="Arial" w:hAnsi="Arial" w:cs="Arial"/>
          <w:b/>
          <w:i/>
          <w:sz w:val="24"/>
          <w:szCs w:val="24"/>
        </w:rPr>
        <w:t xml:space="preserve">Grumpy Old Accountants, </w:t>
      </w:r>
      <w:r w:rsidR="00744500">
        <w:rPr>
          <w:rFonts w:ascii="Arial" w:hAnsi="Arial" w:cs="Arial"/>
          <w:b/>
          <w:i/>
          <w:sz w:val="24"/>
          <w:szCs w:val="24"/>
        </w:rPr>
        <w:t>October</w:t>
      </w:r>
      <w:r>
        <w:rPr>
          <w:rFonts w:ascii="Arial" w:hAnsi="Arial" w:cs="Arial"/>
          <w:b/>
          <w:i/>
          <w:sz w:val="24"/>
          <w:szCs w:val="24"/>
        </w:rPr>
        <w:t xml:space="preserve"> 2011</w:t>
      </w:r>
    </w:p>
    <w:p w:rsidR="00E81155" w:rsidRPr="00A56122" w:rsidRDefault="00E81155" w:rsidP="00E81155">
      <w:pPr>
        <w:rPr>
          <w:rFonts w:ascii="Verdana" w:hAnsi="Verdana" w:cs="Arial"/>
          <w:sz w:val="24"/>
          <w:szCs w:val="24"/>
        </w:rPr>
      </w:pPr>
    </w:p>
    <w:p w:rsidR="00744500" w:rsidRDefault="00744500">
      <w:pPr>
        <w:rPr>
          <w:rFonts w:ascii="Verdana" w:hAnsi="Verdana" w:cs="Arial"/>
          <w:sz w:val="24"/>
          <w:szCs w:val="24"/>
        </w:rPr>
      </w:pPr>
    </w:p>
    <w:p w:rsidR="006D2810" w:rsidRDefault="00435B0B">
      <w:pPr>
        <w:rPr>
          <w:rFonts w:ascii="Verdana" w:hAnsi="Verdana" w:cs="Arial"/>
          <w:sz w:val="24"/>
          <w:szCs w:val="24"/>
        </w:rPr>
      </w:pPr>
      <w:r>
        <w:rPr>
          <w:rFonts w:ascii="Verdana" w:hAnsi="Verdana" w:cs="Arial"/>
          <w:sz w:val="24"/>
          <w:szCs w:val="24"/>
        </w:rPr>
        <w:t xml:space="preserve">Today (October 21) Groupon issued </w:t>
      </w:r>
      <w:hyperlink r:id="rId5" w:history="1">
        <w:r w:rsidRPr="004E1548">
          <w:rPr>
            <w:rStyle w:val="Hyperlink"/>
            <w:rFonts w:ascii="Verdana" w:hAnsi="Verdana" w:cs="Arial"/>
            <w:sz w:val="24"/>
            <w:szCs w:val="24"/>
          </w:rPr>
          <w:t>amendment Number 6 to its S-1 filing</w:t>
        </w:r>
      </w:hyperlink>
      <w:r>
        <w:rPr>
          <w:rFonts w:ascii="Verdana" w:hAnsi="Verdana" w:cs="Arial"/>
          <w:sz w:val="24"/>
          <w:szCs w:val="24"/>
        </w:rPr>
        <w:t>.  The most interesting data are on page 9 of the report, which we repeat below.</w:t>
      </w:r>
    </w:p>
    <w:p w:rsidR="0001223C" w:rsidRDefault="0001223C">
      <w:pPr>
        <w:rPr>
          <w:rFonts w:ascii="Verdana" w:hAnsi="Verdana" w:cs="Arial"/>
          <w:sz w:val="24"/>
          <w:szCs w:val="24"/>
        </w:rPr>
      </w:pPr>
    </w:p>
    <w:p w:rsidR="00C40DDB" w:rsidRDefault="004E1548">
      <w:pPr>
        <w:rPr>
          <w:rFonts w:ascii="Verdana" w:hAnsi="Verdana" w:cs="Arial"/>
          <w:sz w:val="24"/>
          <w:szCs w:val="24"/>
        </w:rPr>
      </w:pPr>
      <w:r>
        <w:rPr>
          <w:rFonts w:ascii="Verdana" w:hAnsi="Verdana" w:cs="Arial"/>
          <w:sz w:val="24"/>
          <w:szCs w:val="24"/>
        </w:rPr>
        <w:t xml:space="preserve">What stands out to us is </w:t>
      </w:r>
      <w:r w:rsidR="00435B0B">
        <w:rPr>
          <w:rFonts w:ascii="Verdana" w:hAnsi="Verdana" w:cs="Arial"/>
          <w:sz w:val="24"/>
          <w:szCs w:val="24"/>
        </w:rPr>
        <w:t xml:space="preserve">that stockholders’ equity on September 30 is </w:t>
      </w:r>
      <w:r w:rsidR="00435B0B" w:rsidRPr="004E1548">
        <w:rPr>
          <w:rFonts w:ascii="Verdana" w:hAnsi="Verdana" w:cs="Arial"/>
          <w:i/>
          <w:sz w:val="24"/>
          <w:szCs w:val="24"/>
          <w:u w:val="single"/>
        </w:rPr>
        <w:t>negative</w:t>
      </w:r>
      <w:r w:rsidR="00435B0B">
        <w:rPr>
          <w:rFonts w:ascii="Verdana" w:hAnsi="Verdana" w:cs="Arial"/>
          <w:sz w:val="24"/>
          <w:szCs w:val="24"/>
        </w:rPr>
        <w:t>—the firm has become technically insolvent!  Our prediction that Groupon has a high probability of failure remains intact.</w:t>
      </w:r>
    </w:p>
    <w:p w:rsidR="00435B0B" w:rsidRDefault="00435B0B">
      <w:pPr>
        <w:rPr>
          <w:rFonts w:ascii="Verdana" w:hAnsi="Verdana" w:cs="Arial"/>
          <w:sz w:val="24"/>
          <w:szCs w:val="24"/>
        </w:rPr>
      </w:pPr>
    </w:p>
    <w:p w:rsidR="00435B0B" w:rsidRDefault="00435B0B">
      <w:pPr>
        <w:rPr>
          <w:rFonts w:ascii="Verdana" w:hAnsi="Verdana" w:cs="Arial"/>
          <w:sz w:val="24"/>
          <w:szCs w:val="24"/>
        </w:rPr>
      </w:pPr>
      <w:r>
        <w:rPr>
          <w:rFonts w:ascii="Verdana" w:hAnsi="Verdana" w:cs="Arial"/>
          <w:sz w:val="24"/>
          <w:szCs w:val="24"/>
        </w:rPr>
        <w:t xml:space="preserve">Groupon also displays the results if the IPO goes as hoped for in the last column “Pro Forma as Adjusted.”  If a </w:t>
      </w:r>
      <w:r w:rsidR="004E1548">
        <w:rPr>
          <w:rFonts w:ascii="Verdana" w:hAnsi="Verdana" w:cs="Arial"/>
          <w:sz w:val="24"/>
          <w:szCs w:val="24"/>
        </w:rPr>
        <w:t>serendipitous</w:t>
      </w:r>
      <w:r>
        <w:rPr>
          <w:rFonts w:ascii="Verdana" w:hAnsi="Verdana" w:cs="Arial"/>
          <w:sz w:val="24"/>
          <w:szCs w:val="24"/>
        </w:rPr>
        <w:t xml:space="preserve"> IPO transpires, then shareholders’ equity becomes</w:t>
      </w:r>
      <w:r w:rsidR="004E1548">
        <w:rPr>
          <w:rFonts w:ascii="Verdana" w:hAnsi="Verdana" w:cs="Arial"/>
          <w:sz w:val="24"/>
          <w:szCs w:val="24"/>
        </w:rPr>
        <w:t xml:space="preserve"> $464 million and financial leverage drops to “only” 64%.</w:t>
      </w:r>
    </w:p>
    <w:p w:rsidR="00435B0B" w:rsidRDefault="00435B0B">
      <w:pPr>
        <w:rPr>
          <w:rFonts w:ascii="Verdana" w:hAnsi="Verdana" w:cs="Arial"/>
          <w:sz w:val="24"/>
          <w:szCs w:val="24"/>
        </w:rPr>
      </w:pPr>
    </w:p>
    <w:p w:rsidR="00874083" w:rsidRDefault="004E1548">
      <w:pPr>
        <w:rPr>
          <w:rFonts w:ascii="Verdana" w:hAnsi="Verdana" w:cs="Arial"/>
          <w:sz w:val="24"/>
          <w:szCs w:val="24"/>
        </w:rPr>
      </w:pPr>
      <w:r>
        <w:rPr>
          <w:rFonts w:ascii="Verdana" w:hAnsi="Verdana" w:cs="Arial"/>
          <w:sz w:val="24"/>
          <w:szCs w:val="24"/>
        </w:rPr>
        <w:t>Of course, this felicitous result depends on investors believing the firm to be valued at the estimate provided by management.  But, for reasons explained in previous essays, we doubt that investors will buy those rosy projections.</w:t>
      </w:r>
    </w:p>
    <w:p w:rsidR="00874083" w:rsidRDefault="00874083">
      <w:pPr>
        <w:rPr>
          <w:rFonts w:ascii="Verdana" w:hAnsi="Verdana" w:cs="Arial"/>
          <w:sz w:val="24"/>
          <w:szCs w:val="24"/>
        </w:rPr>
      </w:pPr>
    </w:p>
    <w:p w:rsidR="00435B0B" w:rsidRDefault="00435B0B">
      <w:pPr>
        <w:rPr>
          <w:rFonts w:ascii="Verdana" w:hAnsi="Verdana" w:cs="Arial"/>
          <w:sz w:val="24"/>
          <w:szCs w:val="24"/>
        </w:rPr>
      </w:pPr>
    </w:p>
    <w:tbl>
      <w:tblPr>
        <w:tblW w:w="4391" w:type="pct"/>
        <w:jc w:val="center"/>
        <w:tblCellSpacing w:w="0" w:type="dxa"/>
        <w:tblInd w:w="100" w:type="dxa"/>
        <w:tblCellMar>
          <w:left w:w="0" w:type="dxa"/>
          <w:right w:w="0" w:type="dxa"/>
        </w:tblCellMar>
        <w:tblLook w:val="04A0"/>
      </w:tblPr>
      <w:tblGrid>
        <w:gridCol w:w="76"/>
        <w:gridCol w:w="3950"/>
        <w:gridCol w:w="78"/>
        <w:gridCol w:w="130"/>
        <w:gridCol w:w="112"/>
        <w:gridCol w:w="697"/>
        <w:gridCol w:w="156"/>
        <w:gridCol w:w="168"/>
        <w:gridCol w:w="1048"/>
        <w:gridCol w:w="156"/>
        <w:gridCol w:w="188"/>
        <w:gridCol w:w="1314"/>
        <w:gridCol w:w="147"/>
      </w:tblGrid>
      <w:tr w:rsidR="00435B0B" w:rsidRPr="00435B0B" w:rsidTr="00435B0B">
        <w:trPr>
          <w:tblCellSpacing w:w="0" w:type="dxa"/>
          <w:jc w:val="center"/>
        </w:trPr>
        <w:tc>
          <w:tcPr>
            <w:tcW w:w="58" w:type="dxa"/>
            <w:vAlign w:val="center"/>
            <w:hideMark/>
          </w:tcPr>
          <w:p w:rsidR="00435B0B" w:rsidRPr="00435B0B" w:rsidRDefault="00435B0B" w:rsidP="00435B0B">
            <w:pPr>
              <w:rPr>
                <w:rFonts w:ascii="Times" w:eastAsia="Times New Roman" w:hAnsi="Times" w:cs="Times"/>
                <w:sz w:val="24"/>
                <w:szCs w:val="24"/>
              </w:rPr>
            </w:pPr>
          </w:p>
        </w:tc>
        <w:tc>
          <w:tcPr>
            <w:tcW w:w="4882" w:type="dxa"/>
            <w:vAlign w:val="center"/>
            <w:hideMark/>
          </w:tcPr>
          <w:p w:rsidR="00435B0B" w:rsidRPr="00435B0B" w:rsidRDefault="00435B0B" w:rsidP="00435B0B">
            <w:pPr>
              <w:rPr>
                <w:rFonts w:ascii="Times" w:eastAsia="Times New Roman" w:hAnsi="Times" w:cs="Times"/>
                <w:sz w:val="24"/>
                <w:szCs w:val="24"/>
              </w:rPr>
            </w:pPr>
          </w:p>
        </w:tc>
        <w:tc>
          <w:tcPr>
            <w:tcW w:w="79" w:type="dxa"/>
            <w:vAlign w:val="center"/>
            <w:hideMark/>
          </w:tcPr>
          <w:p w:rsidR="00435B0B" w:rsidRPr="00435B0B" w:rsidRDefault="00435B0B" w:rsidP="00435B0B">
            <w:pPr>
              <w:rPr>
                <w:rFonts w:ascii="Times" w:eastAsia="Times New Roman" w:hAnsi="Times" w:cs="Times"/>
                <w:sz w:val="24"/>
                <w:szCs w:val="24"/>
              </w:rPr>
            </w:pPr>
          </w:p>
        </w:tc>
        <w:tc>
          <w:tcPr>
            <w:tcW w:w="95" w:type="dxa"/>
            <w:vAlign w:val="center"/>
            <w:hideMark/>
          </w:tcPr>
          <w:p w:rsidR="00435B0B" w:rsidRPr="00435B0B" w:rsidRDefault="00435B0B" w:rsidP="00435B0B">
            <w:pPr>
              <w:jc w:val="right"/>
              <w:rPr>
                <w:rFonts w:ascii="Times" w:eastAsia="Times New Roman" w:hAnsi="Times" w:cs="Times"/>
                <w:sz w:val="24"/>
                <w:szCs w:val="24"/>
              </w:rPr>
            </w:pPr>
          </w:p>
        </w:tc>
        <w:tc>
          <w:tcPr>
            <w:tcW w:w="688" w:type="dxa"/>
            <w:gridSpan w:val="2"/>
            <w:vAlign w:val="center"/>
            <w:hideMark/>
          </w:tcPr>
          <w:p w:rsidR="00435B0B" w:rsidRPr="00435B0B" w:rsidRDefault="00435B0B" w:rsidP="00435B0B">
            <w:pPr>
              <w:rPr>
                <w:rFonts w:ascii="Times" w:eastAsia="Times New Roman" w:hAnsi="Times" w:cs="Times"/>
                <w:sz w:val="24"/>
                <w:szCs w:val="24"/>
              </w:rPr>
            </w:pPr>
          </w:p>
        </w:tc>
        <w:tc>
          <w:tcPr>
            <w:tcW w:w="178" w:type="dxa"/>
            <w:vAlign w:val="center"/>
            <w:hideMark/>
          </w:tcPr>
          <w:p w:rsidR="00435B0B" w:rsidRPr="00435B0B" w:rsidRDefault="00435B0B" w:rsidP="00435B0B">
            <w:pPr>
              <w:rPr>
                <w:rFonts w:ascii="Times" w:eastAsia="Times New Roman" w:hAnsi="Times" w:cs="Times"/>
                <w:sz w:val="24"/>
                <w:szCs w:val="24"/>
              </w:rPr>
            </w:pPr>
          </w:p>
        </w:tc>
        <w:tc>
          <w:tcPr>
            <w:tcW w:w="108" w:type="dxa"/>
            <w:vAlign w:val="center"/>
            <w:hideMark/>
          </w:tcPr>
          <w:p w:rsidR="00435B0B" w:rsidRPr="00435B0B" w:rsidRDefault="00435B0B" w:rsidP="00435B0B">
            <w:pPr>
              <w:jc w:val="right"/>
              <w:rPr>
                <w:rFonts w:ascii="Times" w:eastAsia="Times New Roman" w:hAnsi="Times" w:cs="Times"/>
                <w:sz w:val="24"/>
                <w:szCs w:val="24"/>
              </w:rPr>
            </w:pPr>
          </w:p>
        </w:tc>
        <w:tc>
          <w:tcPr>
            <w:tcW w:w="735" w:type="dxa"/>
            <w:vAlign w:val="center"/>
            <w:hideMark/>
          </w:tcPr>
          <w:p w:rsidR="00435B0B" w:rsidRPr="00435B0B" w:rsidRDefault="00435B0B" w:rsidP="00435B0B">
            <w:pPr>
              <w:rPr>
                <w:rFonts w:ascii="Times" w:eastAsia="Times New Roman" w:hAnsi="Times" w:cs="Times"/>
                <w:sz w:val="24"/>
                <w:szCs w:val="24"/>
              </w:rPr>
            </w:pPr>
          </w:p>
        </w:tc>
        <w:tc>
          <w:tcPr>
            <w:tcW w:w="178" w:type="dxa"/>
            <w:vAlign w:val="center"/>
            <w:hideMark/>
          </w:tcPr>
          <w:p w:rsidR="00435B0B" w:rsidRPr="00435B0B" w:rsidRDefault="00435B0B" w:rsidP="00435B0B">
            <w:pPr>
              <w:rPr>
                <w:rFonts w:ascii="Times" w:eastAsia="Times New Roman" w:hAnsi="Times" w:cs="Times"/>
                <w:sz w:val="24"/>
                <w:szCs w:val="24"/>
              </w:rPr>
            </w:pPr>
          </w:p>
        </w:tc>
        <w:tc>
          <w:tcPr>
            <w:tcW w:w="121" w:type="dxa"/>
            <w:vAlign w:val="center"/>
            <w:hideMark/>
          </w:tcPr>
          <w:p w:rsidR="00435B0B" w:rsidRPr="00435B0B" w:rsidRDefault="00435B0B" w:rsidP="00435B0B">
            <w:pPr>
              <w:jc w:val="right"/>
              <w:rPr>
                <w:rFonts w:ascii="Times" w:eastAsia="Times New Roman" w:hAnsi="Times" w:cs="Times"/>
                <w:sz w:val="24"/>
                <w:szCs w:val="24"/>
              </w:rPr>
            </w:pPr>
          </w:p>
        </w:tc>
        <w:tc>
          <w:tcPr>
            <w:tcW w:w="920" w:type="dxa"/>
            <w:vAlign w:val="center"/>
            <w:hideMark/>
          </w:tcPr>
          <w:p w:rsidR="00435B0B" w:rsidRPr="00435B0B" w:rsidRDefault="00435B0B" w:rsidP="00435B0B">
            <w:pPr>
              <w:rPr>
                <w:rFonts w:ascii="Times" w:eastAsia="Times New Roman" w:hAnsi="Times" w:cs="Times"/>
                <w:sz w:val="24"/>
                <w:szCs w:val="24"/>
              </w:rPr>
            </w:pPr>
          </w:p>
        </w:tc>
        <w:tc>
          <w:tcPr>
            <w:tcW w:w="178" w:type="dxa"/>
            <w:vAlign w:val="center"/>
            <w:hideMark/>
          </w:tcPr>
          <w:p w:rsidR="00435B0B" w:rsidRPr="00435B0B" w:rsidRDefault="00435B0B" w:rsidP="00435B0B">
            <w:pPr>
              <w:rPr>
                <w:rFonts w:ascii="Times" w:eastAsia="Times New Roman" w:hAnsi="Times" w:cs="Times"/>
                <w:sz w:val="24"/>
                <w:szCs w:val="24"/>
              </w:rPr>
            </w:pPr>
          </w:p>
        </w:tc>
      </w:tr>
      <w:tr w:rsidR="00435B0B" w:rsidRPr="00435B0B" w:rsidTr="00435B0B">
        <w:trPr>
          <w:tblCellSpacing w:w="0" w:type="dxa"/>
          <w:jc w:val="center"/>
        </w:trPr>
        <w:tc>
          <w:tcPr>
            <w:tcW w:w="4940" w:type="dxa"/>
            <w:gridSpan w:val="2"/>
            <w:tcBorders>
              <w:top w:val="single" w:sz="4" w:space="0" w:color="auto"/>
              <w:left w:val="single" w:sz="4" w:space="0" w:color="auto"/>
              <w:bottom w:val="single" w:sz="4" w:space="0" w:color="auto"/>
              <w:right w:val="single" w:sz="4" w:space="0" w:color="auto"/>
            </w:tcBorders>
            <w:vAlign w:val="bottom"/>
            <w:hideMark/>
          </w:tcPr>
          <w:p w:rsidR="00435B0B" w:rsidRPr="00435B0B" w:rsidRDefault="00435B0B" w:rsidP="00435B0B">
            <w:pPr>
              <w:rPr>
                <w:rFonts w:ascii="Times" w:eastAsia="Times New Roman" w:hAnsi="Times" w:cs="Times"/>
                <w:b/>
                <w:bCs/>
              </w:rPr>
            </w:pPr>
            <w:r w:rsidRPr="00435B0B">
              <w:rPr>
                <w:rFonts w:ascii="Times" w:eastAsia="Times New Roman" w:hAnsi="Times" w:cs="Times"/>
                <w:b/>
                <w:bCs/>
              </w:rPr>
              <w:t> (in thousands)</w:t>
            </w:r>
          </w:p>
        </w:tc>
        <w:tc>
          <w:tcPr>
            <w:tcW w:w="79" w:type="dxa"/>
            <w:tcBorders>
              <w:top w:val="single" w:sz="4" w:space="0" w:color="auto"/>
              <w:left w:val="single" w:sz="4" w:space="0" w:color="auto"/>
              <w:bottom w:val="single" w:sz="4" w:space="0" w:color="auto"/>
              <w:right w:val="single" w:sz="4" w:space="0" w:color="auto"/>
            </w:tcBorders>
            <w:vAlign w:val="bottom"/>
            <w:hideMark/>
          </w:tcPr>
          <w:p w:rsidR="00435B0B" w:rsidRPr="00435B0B" w:rsidRDefault="00435B0B" w:rsidP="00435B0B">
            <w:pPr>
              <w:jc w:val="center"/>
              <w:rPr>
                <w:rFonts w:ascii="Times" w:eastAsia="Times New Roman" w:hAnsi="Times" w:cs="Times"/>
                <w:b/>
                <w:bCs/>
              </w:rPr>
            </w:pPr>
            <w:r w:rsidRPr="00435B0B">
              <w:rPr>
                <w:rFonts w:ascii="Times" w:eastAsia="Times New Roman" w:hAnsi="Times" w:cs="Times"/>
                <w:b/>
                <w:bCs/>
              </w:rPr>
              <w:t> </w:t>
            </w:r>
          </w:p>
        </w:tc>
        <w:tc>
          <w:tcPr>
            <w:tcW w:w="3023" w:type="dxa"/>
            <w:gridSpan w:val="9"/>
            <w:tcBorders>
              <w:top w:val="single" w:sz="4" w:space="0" w:color="auto"/>
              <w:left w:val="single" w:sz="4" w:space="0" w:color="auto"/>
              <w:bottom w:val="single" w:sz="4" w:space="0" w:color="auto"/>
              <w:right w:val="single" w:sz="4" w:space="0" w:color="auto"/>
            </w:tcBorders>
            <w:vAlign w:val="bottom"/>
            <w:hideMark/>
          </w:tcPr>
          <w:p w:rsidR="00435B0B" w:rsidRPr="00435B0B" w:rsidRDefault="00435B0B" w:rsidP="00435B0B">
            <w:pPr>
              <w:jc w:val="center"/>
              <w:rPr>
                <w:rFonts w:ascii="Times" w:eastAsia="Times New Roman" w:hAnsi="Times" w:cs="Times"/>
                <w:b/>
                <w:bCs/>
              </w:rPr>
            </w:pPr>
            <w:r w:rsidRPr="00435B0B">
              <w:rPr>
                <w:rFonts w:ascii="Times" w:eastAsia="Times New Roman" w:hAnsi="Times" w:cs="Times"/>
                <w:b/>
                <w:bCs/>
              </w:rPr>
              <w:t xml:space="preserve">As of September 30, 2011 </w:t>
            </w:r>
          </w:p>
        </w:tc>
        <w:tc>
          <w:tcPr>
            <w:tcW w:w="178" w:type="dxa"/>
            <w:tcBorders>
              <w:top w:val="single" w:sz="4" w:space="0" w:color="auto"/>
              <w:left w:val="single" w:sz="4" w:space="0" w:color="auto"/>
              <w:bottom w:val="single" w:sz="4" w:space="0" w:color="auto"/>
              <w:right w:val="single" w:sz="4" w:space="0" w:color="auto"/>
            </w:tcBorders>
            <w:vAlign w:val="bottom"/>
            <w:hideMark/>
          </w:tcPr>
          <w:p w:rsidR="00435B0B" w:rsidRPr="00435B0B" w:rsidRDefault="00435B0B" w:rsidP="00435B0B">
            <w:pPr>
              <w:jc w:val="center"/>
              <w:rPr>
                <w:rFonts w:ascii="Times" w:eastAsia="Times New Roman" w:hAnsi="Times" w:cs="Times"/>
                <w:b/>
                <w:bCs/>
                <w:sz w:val="24"/>
                <w:szCs w:val="24"/>
              </w:rPr>
            </w:pPr>
            <w:r w:rsidRPr="00435B0B">
              <w:rPr>
                <w:rFonts w:ascii="Times" w:eastAsia="Times New Roman" w:hAnsi="Times" w:cs="Times"/>
                <w:b/>
                <w:bCs/>
                <w:sz w:val="15"/>
                <w:szCs w:val="15"/>
              </w:rPr>
              <w:t> </w:t>
            </w:r>
          </w:p>
        </w:tc>
      </w:tr>
      <w:tr w:rsidR="00435B0B" w:rsidRPr="00435B0B" w:rsidTr="00435B0B">
        <w:trPr>
          <w:tblCellSpacing w:w="0" w:type="dxa"/>
          <w:jc w:val="center"/>
        </w:trPr>
        <w:tc>
          <w:tcPr>
            <w:tcW w:w="4940" w:type="dxa"/>
            <w:gridSpan w:val="2"/>
            <w:tcBorders>
              <w:top w:val="single" w:sz="4" w:space="0" w:color="auto"/>
              <w:left w:val="single" w:sz="4" w:space="0" w:color="auto"/>
              <w:bottom w:val="single" w:sz="4" w:space="0" w:color="auto"/>
              <w:right w:val="single" w:sz="4" w:space="0" w:color="auto"/>
            </w:tcBorders>
            <w:vAlign w:val="bottom"/>
            <w:hideMark/>
          </w:tcPr>
          <w:p w:rsidR="00435B0B" w:rsidRPr="00435B0B" w:rsidRDefault="00435B0B" w:rsidP="00435B0B">
            <w:pPr>
              <w:rPr>
                <w:rFonts w:ascii="Times" w:eastAsia="Times New Roman" w:hAnsi="Times" w:cs="Times"/>
                <w:b/>
                <w:bCs/>
              </w:rPr>
            </w:pPr>
            <w:r w:rsidRPr="00435B0B">
              <w:rPr>
                <w:rFonts w:ascii="Times" w:eastAsia="Times New Roman" w:hAnsi="Times" w:cs="Times"/>
                <w:b/>
                <w:bCs/>
              </w:rPr>
              <w:t> </w:t>
            </w:r>
          </w:p>
        </w:tc>
        <w:tc>
          <w:tcPr>
            <w:tcW w:w="79" w:type="dxa"/>
            <w:tcBorders>
              <w:top w:val="single" w:sz="4" w:space="0" w:color="auto"/>
              <w:left w:val="single" w:sz="4" w:space="0" w:color="auto"/>
              <w:bottom w:val="single" w:sz="4" w:space="0" w:color="auto"/>
              <w:right w:val="single" w:sz="4" w:space="0" w:color="auto"/>
            </w:tcBorders>
            <w:vAlign w:val="bottom"/>
            <w:hideMark/>
          </w:tcPr>
          <w:p w:rsidR="00435B0B" w:rsidRPr="00435B0B" w:rsidRDefault="00435B0B" w:rsidP="00435B0B">
            <w:pPr>
              <w:jc w:val="center"/>
              <w:rPr>
                <w:rFonts w:ascii="Times" w:eastAsia="Times New Roman" w:hAnsi="Times" w:cs="Times"/>
                <w:b/>
                <w:bCs/>
              </w:rPr>
            </w:pPr>
            <w:r w:rsidRPr="00435B0B">
              <w:rPr>
                <w:rFonts w:ascii="Times" w:eastAsia="Times New Roman" w:hAnsi="Times" w:cs="Times"/>
                <w:b/>
                <w:bCs/>
              </w:rPr>
              <w:t> </w:t>
            </w:r>
          </w:p>
        </w:tc>
        <w:tc>
          <w:tcPr>
            <w:tcW w:w="783" w:type="dxa"/>
            <w:gridSpan w:val="3"/>
            <w:tcBorders>
              <w:top w:val="single" w:sz="4" w:space="0" w:color="auto"/>
              <w:left w:val="single" w:sz="4" w:space="0" w:color="auto"/>
              <w:bottom w:val="single" w:sz="4" w:space="0" w:color="auto"/>
              <w:right w:val="single" w:sz="4" w:space="0" w:color="auto"/>
            </w:tcBorders>
            <w:vAlign w:val="bottom"/>
            <w:hideMark/>
          </w:tcPr>
          <w:p w:rsidR="00435B0B" w:rsidRPr="00435B0B" w:rsidRDefault="00435B0B" w:rsidP="00435B0B">
            <w:pPr>
              <w:jc w:val="center"/>
              <w:rPr>
                <w:rFonts w:ascii="Times" w:eastAsia="Times New Roman" w:hAnsi="Times" w:cs="Times"/>
                <w:b/>
                <w:bCs/>
              </w:rPr>
            </w:pPr>
            <w:r w:rsidRPr="00435B0B">
              <w:rPr>
                <w:rFonts w:ascii="Times" w:eastAsia="Times New Roman" w:hAnsi="Times" w:cs="Times"/>
                <w:b/>
                <w:bCs/>
              </w:rPr>
              <w:t xml:space="preserve">Actual </w:t>
            </w:r>
          </w:p>
        </w:tc>
        <w:tc>
          <w:tcPr>
            <w:tcW w:w="178" w:type="dxa"/>
            <w:tcBorders>
              <w:top w:val="single" w:sz="4" w:space="0" w:color="auto"/>
              <w:left w:val="single" w:sz="4" w:space="0" w:color="auto"/>
              <w:bottom w:val="single" w:sz="4" w:space="0" w:color="auto"/>
              <w:right w:val="single" w:sz="4" w:space="0" w:color="auto"/>
            </w:tcBorders>
            <w:vAlign w:val="bottom"/>
            <w:hideMark/>
          </w:tcPr>
          <w:p w:rsidR="00435B0B" w:rsidRPr="00435B0B" w:rsidRDefault="00435B0B" w:rsidP="00435B0B">
            <w:pPr>
              <w:jc w:val="center"/>
              <w:rPr>
                <w:rFonts w:ascii="Times" w:eastAsia="Times New Roman" w:hAnsi="Times" w:cs="Times"/>
                <w:b/>
                <w:bCs/>
              </w:rPr>
            </w:pPr>
            <w:r w:rsidRPr="00435B0B">
              <w:rPr>
                <w:rFonts w:ascii="Times" w:eastAsia="Times New Roman" w:hAnsi="Times" w:cs="Times"/>
                <w:b/>
                <w:bCs/>
              </w:rPr>
              <w:t> </w:t>
            </w:r>
          </w:p>
        </w:tc>
        <w:tc>
          <w:tcPr>
            <w:tcW w:w="843" w:type="dxa"/>
            <w:gridSpan w:val="2"/>
            <w:tcBorders>
              <w:top w:val="single" w:sz="4" w:space="0" w:color="auto"/>
              <w:left w:val="single" w:sz="4" w:space="0" w:color="auto"/>
              <w:bottom w:val="single" w:sz="4" w:space="0" w:color="auto"/>
              <w:right w:val="single" w:sz="4" w:space="0" w:color="auto"/>
            </w:tcBorders>
            <w:vAlign w:val="bottom"/>
            <w:hideMark/>
          </w:tcPr>
          <w:p w:rsidR="00435B0B" w:rsidRPr="00435B0B" w:rsidRDefault="00435B0B" w:rsidP="00435B0B">
            <w:pPr>
              <w:jc w:val="center"/>
              <w:rPr>
                <w:rFonts w:ascii="Times" w:eastAsia="Times New Roman" w:hAnsi="Times" w:cs="Times"/>
                <w:b/>
                <w:bCs/>
              </w:rPr>
            </w:pPr>
            <w:r w:rsidRPr="00435B0B">
              <w:rPr>
                <w:rFonts w:ascii="Times" w:eastAsia="Times New Roman" w:hAnsi="Times" w:cs="Times"/>
                <w:b/>
                <w:bCs/>
              </w:rPr>
              <w:t>Pro Forma</w:t>
            </w:r>
            <w:r w:rsidRPr="00435B0B">
              <w:rPr>
                <w:rFonts w:ascii="Times" w:eastAsia="Times New Roman" w:hAnsi="Times" w:cs="Times"/>
                <w:b/>
                <w:bCs/>
                <w:vertAlign w:val="superscript"/>
              </w:rPr>
              <w:t>(1)</w:t>
            </w:r>
            <w:r w:rsidRPr="00435B0B">
              <w:rPr>
                <w:rFonts w:ascii="Times" w:eastAsia="Times New Roman" w:hAnsi="Times" w:cs="Times"/>
                <w:b/>
                <w:bCs/>
              </w:rPr>
              <w:t xml:space="preserve"> </w:t>
            </w:r>
          </w:p>
        </w:tc>
        <w:tc>
          <w:tcPr>
            <w:tcW w:w="178" w:type="dxa"/>
            <w:tcBorders>
              <w:top w:val="single" w:sz="4" w:space="0" w:color="auto"/>
              <w:left w:val="single" w:sz="4" w:space="0" w:color="auto"/>
              <w:bottom w:val="single" w:sz="4" w:space="0" w:color="auto"/>
              <w:right w:val="single" w:sz="4" w:space="0" w:color="auto"/>
            </w:tcBorders>
            <w:vAlign w:val="bottom"/>
            <w:hideMark/>
          </w:tcPr>
          <w:p w:rsidR="00435B0B" w:rsidRPr="00435B0B" w:rsidRDefault="00435B0B" w:rsidP="00435B0B">
            <w:pPr>
              <w:jc w:val="center"/>
              <w:rPr>
                <w:rFonts w:ascii="Times" w:eastAsia="Times New Roman" w:hAnsi="Times" w:cs="Times"/>
                <w:b/>
                <w:bCs/>
              </w:rPr>
            </w:pPr>
            <w:r w:rsidRPr="00435B0B">
              <w:rPr>
                <w:rFonts w:ascii="Times" w:eastAsia="Times New Roman" w:hAnsi="Times" w:cs="Times"/>
                <w:b/>
                <w:bCs/>
              </w:rPr>
              <w:t> </w:t>
            </w:r>
          </w:p>
        </w:tc>
        <w:tc>
          <w:tcPr>
            <w:tcW w:w="1041" w:type="dxa"/>
            <w:gridSpan w:val="2"/>
            <w:tcBorders>
              <w:top w:val="single" w:sz="4" w:space="0" w:color="auto"/>
              <w:left w:val="single" w:sz="4" w:space="0" w:color="auto"/>
              <w:bottom w:val="single" w:sz="4" w:space="0" w:color="auto"/>
              <w:right w:val="single" w:sz="4" w:space="0" w:color="auto"/>
            </w:tcBorders>
            <w:vAlign w:val="bottom"/>
            <w:hideMark/>
          </w:tcPr>
          <w:p w:rsidR="00435B0B" w:rsidRPr="00435B0B" w:rsidRDefault="00435B0B" w:rsidP="00435B0B">
            <w:pPr>
              <w:jc w:val="center"/>
              <w:rPr>
                <w:rFonts w:ascii="Times" w:eastAsia="Times New Roman" w:hAnsi="Times" w:cs="Times"/>
                <w:b/>
                <w:bCs/>
              </w:rPr>
            </w:pPr>
            <w:r w:rsidRPr="00435B0B">
              <w:rPr>
                <w:rFonts w:ascii="Times" w:eastAsia="Times New Roman" w:hAnsi="Times" w:cs="Times"/>
                <w:b/>
                <w:bCs/>
              </w:rPr>
              <w:t>Pro Forma</w:t>
            </w:r>
            <w:r w:rsidRPr="00435B0B">
              <w:rPr>
                <w:rFonts w:ascii="Times" w:eastAsia="Times New Roman" w:hAnsi="Times" w:cs="Times"/>
                <w:b/>
                <w:bCs/>
              </w:rPr>
              <w:br/>
              <w:t>As Adjusted</w:t>
            </w:r>
            <w:r w:rsidRPr="00435B0B">
              <w:rPr>
                <w:rFonts w:ascii="Times" w:eastAsia="Times New Roman" w:hAnsi="Times" w:cs="Times"/>
                <w:b/>
                <w:bCs/>
                <w:vertAlign w:val="superscript"/>
              </w:rPr>
              <w:t>(2)(3)</w:t>
            </w:r>
            <w:r w:rsidRPr="00435B0B">
              <w:rPr>
                <w:rFonts w:ascii="Times" w:eastAsia="Times New Roman" w:hAnsi="Times" w:cs="Times"/>
                <w:b/>
                <w:bCs/>
              </w:rPr>
              <w:t xml:space="preserve"> </w:t>
            </w:r>
          </w:p>
        </w:tc>
        <w:tc>
          <w:tcPr>
            <w:tcW w:w="178" w:type="dxa"/>
            <w:tcBorders>
              <w:top w:val="single" w:sz="4" w:space="0" w:color="auto"/>
              <w:left w:val="single" w:sz="4" w:space="0" w:color="auto"/>
              <w:bottom w:val="single" w:sz="4" w:space="0" w:color="auto"/>
              <w:right w:val="single" w:sz="4" w:space="0" w:color="auto"/>
            </w:tcBorders>
            <w:vAlign w:val="bottom"/>
            <w:hideMark/>
          </w:tcPr>
          <w:p w:rsidR="00435B0B" w:rsidRPr="00435B0B" w:rsidRDefault="00435B0B" w:rsidP="00435B0B">
            <w:pPr>
              <w:jc w:val="center"/>
              <w:rPr>
                <w:rFonts w:ascii="Times" w:eastAsia="Times New Roman" w:hAnsi="Times" w:cs="Times"/>
                <w:b/>
                <w:bCs/>
                <w:sz w:val="24"/>
                <w:szCs w:val="24"/>
              </w:rPr>
            </w:pPr>
            <w:r w:rsidRPr="00435B0B">
              <w:rPr>
                <w:rFonts w:ascii="Times" w:eastAsia="Times New Roman" w:hAnsi="Times" w:cs="Times"/>
                <w:b/>
                <w:bCs/>
                <w:sz w:val="15"/>
                <w:szCs w:val="15"/>
              </w:rPr>
              <w:t> </w:t>
            </w:r>
          </w:p>
        </w:tc>
      </w:tr>
      <w:tr w:rsidR="00435B0B" w:rsidRPr="00435B0B" w:rsidTr="00435B0B">
        <w:trPr>
          <w:tblCellSpacing w:w="0" w:type="dxa"/>
          <w:jc w:val="center"/>
        </w:trPr>
        <w:tc>
          <w:tcPr>
            <w:tcW w:w="4940" w:type="dxa"/>
            <w:gridSpan w:val="2"/>
            <w:tcBorders>
              <w:top w:val="single" w:sz="4" w:space="0" w:color="auto"/>
              <w:left w:val="single" w:sz="4" w:space="0" w:color="auto"/>
              <w:bottom w:val="single" w:sz="4" w:space="0" w:color="auto"/>
              <w:right w:val="single" w:sz="4" w:space="0" w:color="auto"/>
            </w:tcBorders>
            <w:vAlign w:val="bottom"/>
            <w:hideMark/>
          </w:tcPr>
          <w:p w:rsidR="00435B0B" w:rsidRPr="00435B0B" w:rsidRDefault="00435B0B" w:rsidP="00435B0B">
            <w:pPr>
              <w:rPr>
                <w:rFonts w:ascii="Times" w:eastAsia="Times New Roman" w:hAnsi="Times" w:cs="Times"/>
                <w:b/>
                <w:bCs/>
              </w:rPr>
            </w:pPr>
            <w:r w:rsidRPr="00435B0B">
              <w:rPr>
                <w:rFonts w:ascii="Times" w:eastAsia="Times New Roman" w:hAnsi="Times" w:cs="Times"/>
                <w:b/>
                <w:bCs/>
              </w:rPr>
              <w:t> </w:t>
            </w:r>
          </w:p>
        </w:tc>
        <w:tc>
          <w:tcPr>
            <w:tcW w:w="79" w:type="dxa"/>
            <w:tcBorders>
              <w:top w:val="single" w:sz="4" w:space="0" w:color="auto"/>
              <w:left w:val="single" w:sz="4" w:space="0" w:color="auto"/>
              <w:bottom w:val="single" w:sz="4" w:space="0" w:color="auto"/>
              <w:right w:val="single" w:sz="4" w:space="0" w:color="auto"/>
            </w:tcBorders>
            <w:vAlign w:val="bottom"/>
            <w:hideMark/>
          </w:tcPr>
          <w:p w:rsidR="00435B0B" w:rsidRPr="00435B0B" w:rsidRDefault="00435B0B" w:rsidP="00435B0B">
            <w:pPr>
              <w:jc w:val="center"/>
              <w:rPr>
                <w:rFonts w:ascii="Times" w:eastAsia="Times New Roman" w:hAnsi="Times" w:cs="Times"/>
                <w:b/>
                <w:bCs/>
              </w:rPr>
            </w:pPr>
            <w:r w:rsidRPr="00435B0B">
              <w:rPr>
                <w:rFonts w:ascii="Times" w:eastAsia="Times New Roman" w:hAnsi="Times" w:cs="Times"/>
                <w:b/>
                <w:bCs/>
              </w:rPr>
              <w:t> </w:t>
            </w:r>
          </w:p>
        </w:tc>
        <w:tc>
          <w:tcPr>
            <w:tcW w:w="783" w:type="dxa"/>
            <w:gridSpan w:val="3"/>
            <w:tcBorders>
              <w:top w:val="single" w:sz="4" w:space="0" w:color="auto"/>
              <w:left w:val="single" w:sz="4" w:space="0" w:color="auto"/>
              <w:bottom w:val="single" w:sz="4" w:space="0" w:color="auto"/>
              <w:right w:val="single" w:sz="4" w:space="0" w:color="auto"/>
            </w:tcBorders>
            <w:vAlign w:val="bottom"/>
            <w:hideMark/>
          </w:tcPr>
          <w:p w:rsidR="00435B0B" w:rsidRPr="00435B0B" w:rsidRDefault="00435B0B" w:rsidP="00435B0B">
            <w:pPr>
              <w:rPr>
                <w:rFonts w:ascii="Times" w:eastAsia="Times New Roman" w:hAnsi="Times" w:cs="Times"/>
                <w:b/>
                <w:bCs/>
              </w:rPr>
            </w:pPr>
            <w:r w:rsidRPr="00435B0B">
              <w:rPr>
                <w:rFonts w:ascii="Times" w:eastAsia="Times New Roman" w:hAnsi="Times" w:cs="Times"/>
                <w:b/>
                <w:bCs/>
              </w:rPr>
              <w:t> </w:t>
            </w:r>
          </w:p>
        </w:tc>
        <w:tc>
          <w:tcPr>
            <w:tcW w:w="178" w:type="dxa"/>
            <w:tcBorders>
              <w:top w:val="single" w:sz="4" w:space="0" w:color="auto"/>
              <w:left w:val="single" w:sz="4" w:space="0" w:color="auto"/>
              <w:bottom w:val="single" w:sz="4" w:space="0" w:color="auto"/>
              <w:right w:val="single" w:sz="4" w:space="0" w:color="auto"/>
            </w:tcBorders>
            <w:vAlign w:val="bottom"/>
            <w:hideMark/>
          </w:tcPr>
          <w:p w:rsidR="00435B0B" w:rsidRPr="00435B0B" w:rsidRDefault="00435B0B" w:rsidP="00435B0B">
            <w:pPr>
              <w:jc w:val="center"/>
              <w:rPr>
                <w:rFonts w:ascii="Times" w:eastAsia="Times New Roman" w:hAnsi="Times" w:cs="Times"/>
                <w:b/>
                <w:bCs/>
              </w:rPr>
            </w:pPr>
            <w:r w:rsidRPr="00435B0B">
              <w:rPr>
                <w:rFonts w:ascii="Times" w:eastAsia="Times New Roman" w:hAnsi="Times" w:cs="Times"/>
                <w:b/>
                <w:bCs/>
              </w:rPr>
              <w:t> </w:t>
            </w:r>
          </w:p>
        </w:tc>
        <w:tc>
          <w:tcPr>
            <w:tcW w:w="843" w:type="dxa"/>
            <w:gridSpan w:val="2"/>
            <w:tcBorders>
              <w:top w:val="single" w:sz="4" w:space="0" w:color="auto"/>
              <w:left w:val="single" w:sz="4" w:space="0" w:color="auto"/>
              <w:bottom w:val="single" w:sz="4" w:space="0" w:color="auto"/>
              <w:right w:val="single" w:sz="4" w:space="0" w:color="auto"/>
            </w:tcBorders>
            <w:vAlign w:val="bottom"/>
            <w:hideMark/>
          </w:tcPr>
          <w:p w:rsidR="00435B0B" w:rsidRPr="00435B0B" w:rsidRDefault="00435B0B" w:rsidP="00435B0B">
            <w:pPr>
              <w:rPr>
                <w:rFonts w:ascii="Times" w:eastAsia="Times New Roman" w:hAnsi="Times" w:cs="Times"/>
                <w:b/>
                <w:bCs/>
              </w:rPr>
            </w:pPr>
            <w:r w:rsidRPr="00435B0B">
              <w:rPr>
                <w:rFonts w:ascii="Times" w:eastAsia="Times New Roman" w:hAnsi="Times" w:cs="Times"/>
                <w:b/>
                <w:bCs/>
              </w:rPr>
              <w:t> </w:t>
            </w:r>
          </w:p>
        </w:tc>
        <w:tc>
          <w:tcPr>
            <w:tcW w:w="178" w:type="dxa"/>
            <w:tcBorders>
              <w:top w:val="single" w:sz="4" w:space="0" w:color="auto"/>
              <w:left w:val="single" w:sz="4" w:space="0" w:color="auto"/>
              <w:bottom w:val="single" w:sz="4" w:space="0" w:color="auto"/>
              <w:right w:val="single" w:sz="4" w:space="0" w:color="auto"/>
            </w:tcBorders>
            <w:vAlign w:val="bottom"/>
            <w:hideMark/>
          </w:tcPr>
          <w:p w:rsidR="00435B0B" w:rsidRPr="00435B0B" w:rsidRDefault="00435B0B" w:rsidP="00435B0B">
            <w:pPr>
              <w:jc w:val="center"/>
              <w:rPr>
                <w:rFonts w:ascii="Times" w:eastAsia="Times New Roman" w:hAnsi="Times" w:cs="Times"/>
                <w:b/>
                <w:bCs/>
              </w:rPr>
            </w:pPr>
            <w:r w:rsidRPr="00435B0B">
              <w:rPr>
                <w:rFonts w:ascii="Times" w:eastAsia="Times New Roman" w:hAnsi="Times" w:cs="Times"/>
                <w:b/>
                <w:bCs/>
              </w:rPr>
              <w:t> </w:t>
            </w:r>
          </w:p>
        </w:tc>
        <w:tc>
          <w:tcPr>
            <w:tcW w:w="1041" w:type="dxa"/>
            <w:gridSpan w:val="2"/>
            <w:tcBorders>
              <w:top w:val="single" w:sz="4" w:space="0" w:color="auto"/>
              <w:left w:val="single" w:sz="4" w:space="0" w:color="auto"/>
              <w:bottom w:val="single" w:sz="4" w:space="0" w:color="auto"/>
              <w:right w:val="single" w:sz="4" w:space="0" w:color="auto"/>
            </w:tcBorders>
            <w:vAlign w:val="bottom"/>
            <w:hideMark/>
          </w:tcPr>
          <w:p w:rsidR="00435B0B" w:rsidRPr="00435B0B" w:rsidRDefault="00435B0B" w:rsidP="00435B0B">
            <w:pPr>
              <w:rPr>
                <w:rFonts w:ascii="Times" w:eastAsia="Times New Roman" w:hAnsi="Times" w:cs="Times"/>
                <w:b/>
                <w:bCs/>
              </w:rPr>
            </w:pPr>
            <w:r w:rsidRPr="00435B0B">
              <w:rPr>
                <w:rFonts w:ascii="Times" w:eastAsia="Times New Roman" w:hAnsi="Times" w:cs="Times"/>
                <w:b/>
                <w:bCs/>
              </w:rPr>
              <w:t> </w:t>
            </w:r>
          </w:p>
        </w:tc>
        <w:tc>
          <w:tcPr>
            <w:tcW w:w="178" w:type="dxa"/>
            <w:tcBorders>
              <w:top w:val="single" w:sz="4" w:space="0" w:color="auto"/>
              <w:left w:val="single" w:sz="4" w:space="0" w:color="auto"/>
              <w:bottom w:val="single" w:sz="4" w:space="0" w:color="auto"/>
              <w:right w:val="single" w:sz="4" w:space="0" w:color="auto"/>
            </w:tcBorders>
            <w:vAlign w:val="bottom"/>
            <w:hideMark/>
          </w:tcPr>
          <w:p w:rsidR="00435B0B" w:rsidRPr="00435B0B" w:rsidRDefault="00435B0B" w:rsidP="00435B0B">
            <w:pPr>
              <w:jc w:val="center"/>
              <w:rPr>
                <w:rFonts w:ascii="Times" w:eastAsia="Times New Roman" w:hAnsi="Times" w:cs="Times"/>
                <w:b/>
                <w:bCs/>
                <w:sz w:val="24"/>
                <w:szCs w:val="24"/>
              </w:rPr>
            </w:pPr>
            <w:r w:rsidRPr="00435B0B">
              <w:rPr>
                <w:rFonts w:ascii="Times" w:eastAsia="Times New Roman" w:hAnsi="Times" w:cs="Times"/>
                <w:b/>
                <w:bCs/>
                <w:sz w:val="15"/>
                <w:szCs w:val="15"/>
              </w:rPr>
              <w:t> </w:t>
            </w:r>
          </w:p>
        </w:tc>
      </w:tr>
      <w:tr w:rsidR="00435B0B" w:rsidRPr="00435B0B" w:rsidTr="00435B0B">
        <w:trPr>
          <w:gridAfter w:val="8"/>
          <w:wAfter w:w="3023" w:type="dxa"/>
          <w:tblCellSpacing w:w="0" w:type="dxa"/>
          <w:jc w:val="center"/>
        </w:trPr>
        <w:tc>
          <w:tcPr>
            <w:tcW w:w="4940" w:type="dxa"/>
            <w:gridSpan w:val="2"/>
            <w:tcBorders>
              <w:top w:val="single" w:sz="4" w:space="0" w:color="auto"/>
              <w:left w:val="single" w:sz="4" w:space="0" w:color="auto"/>
              <w:bottom w:val="single" w:sz="4" w:space="0" w:color="auto"/>
              <w:right w:val="single" w:sz="4" w:space="0" w:color="auto"/>
            </w:tcBorders>
            <w:vAlign w:val="bottom"/>
            <w:hideMark/>
          </w:tcPr>
          <w:p w:rsidR="00435B0B" w:rsidRPr="00435B0B" w:rsidRDefault="00435B0B" w:rsidP="00435B0B">
            <w:pPr>
              <w:rPr>
                <w:rFonts w:ascii="Times" w:eastAsia="Times New Roman" w:hAnsi="Times" w:cs="Times"/>
                <w:b/>
                <w:bCs/>
              </w:rPr>
            </w:pPr>
            <w:r w:rsidRPr="00435B0B">
              <w:rPr>
                <w:rFonts w:ascii="Times" w:eastAsia="Times New Roman" w:hAnsi="Times" w:cs="Times"/>
                <w:b/>
                <w:bCs/>
              </w:rPr>
              <w:t> </w:t>
            </w:r>
          </w:p>
        </w:tc>
        <w:tc>
          <w:tcPr>
            <w:tcW w:w="79" w:type="dxa"/>
            <w:tcBorders>
              <w:top w:val="single" w:sz="4" w:space="0" w:color="auto"/>
              <w:left w:val="single" w:sz="4" w:space="0" w:color="auto"/>
              <w:bottom w:val="single" w:sz="4" w:space="0" w:color="auto"/>
              <w:right w:val="single" w:sz="4" w:space="0" w:color="auto"/>
            </w:tcBorders>
            <w:vAlign w:val="bottom"/>
            <w:hideMark/>
          </w:tcPr>
          <w:p w:rsidR="00435B0B" w:rsidRPr="00435B0B" w:rsidRDefault="00435B0B" w:rsidP="00435B0B">
            <w:pPr>
              <w:jc w:val="center"/>
              <w:rPr>
                <w:rFonts w:ascii="Times" w:eastAsia="Times New Roman" w:hAnsi="Times" w:cs="Times"/>
                <w:b/>
                <w:bCs/>
              </w:rPr>
            </w:pPr>
            <w:r w:rsidRPr="00435B0B">
              <w:rPr>
                <w:rFonts w:ascii="Times" w:eastAsia="Times New Roman" w:hAnsi="Times" w:cs="Times"/>
                <w:b/>
                <w:bCs/>
              </w:rPr>
              <w:t> </w:t>
            </w:r>
          </w:p>
        </w:tc>
        <w:tc>
          <w:tcPr>
            <w:tcW w:w="178" w:type="dxa"/>
            <w:gridSpan w:val="2"/>
            <w:tcBorders>
              <w:top w:val="single" w:sz="4" w:space="0" w:color="auto"/>
              <w:left w:val="single" w:sz="4" w:space="0" w:color="auto"/>
              <w:bottom w:val="single" w:sz="4" w:space="0" w:color="auto"/>
              <w:right w:val="single" w:sz="4" w:space="0" w:color="auto"/>
            </w:tcBorders>
            <w:vAlign w:val="bottom"/>
            <w:hideMark/>
          </w:tcPr>
          <w:p w:rsidR="00435B0B" w:rsidRPr="00435B0B" w:rsidRDefault="00435B0B" w:rsidP="00435B0B">
            <w:pPr>
              <w:jc w:val="center"/>
              <w:rPr>
                <w:rFonts w:ascii="Times" w:eastAsia="Times New Roman" w:hAnsi="Times" w:cs="Times"/>
                <w:b/>
                <w:bCs/>
              </w:rPr>
            </w:pPr>
            <w:r w:rsidRPr="00435B0B">
              <w:rPr>
                <w:rFonts w:ascii="Times" w:eastAsia="Times New Roman" w:hAnsi="Times" w:cs="Times"/>
                <w:b/>
                <w:bCs/>
              </w:rPr>
              <w:t> </w:t>
            </w:r>
          </w:p>
        </w:tc>
      </w:tr>
      <w:tr w:rsidR="00435B0B" w:rsidRPr="00435B0B" w:rsidTr="00435B0B">
        <w:trPr>
          <w:tblCellSpacing w:w="0" w:type="dxa"/>
          <w:jc w:val="center"/>
        </w:trPr>
        <w:tc>
          <w:tcPr>
            <w:tcW w:w="4940" w:type="dxa"/>
            <w:gridSpan w:val="2"/>
            <w:tcBorders>
              <w:top w:val="single" w:sz="4" w:space="0" w:color="auto"/>
              <w:left w:val="single" w:sz="4" w:space="0" w:color="auto"/>
              <w:bottom w:val="single" w:sz="4" w:space="0" w:color="auto"/>
              <w:right w:val="single" w:sz="4" w:space="0" w:color="auto"/>
            </w:tcBorders>
            <w:shd w:val="clear" w:color="auto" w:fill="CCEEFF"/>
            <w:vAlign w:val="bottom"/>
            <w:hideMark/>
          </w:tcPr>
          <w:p w:rsidR="00435B0B" w:rsidRPr="00435B0B" w:rsidRDefault="00435B0B" w:rsidP="00435B0B">
            <w:pPr>
              <w:spacing w:before="100" w:beforeAutospacing="1" w:after="100" w:afterAutospacing="1"/>
              <w:ind w:left="160" w:hanging="160"/>
              <w:rPr>
                <w:rFonts w:ascii="Times" w:eastAsia="Times New Roman" w:hAnsi="Times" w:cs="Times"/>
              </w:rPr>
            </w:pPr>
            <w:r w:rsidRPr="00435B0B">
              <w:rPr>
                <w:rFonts w:ascii="Times" w:eastAsia="Times New Roman" w:hAnsi="Times" w:cs="Times"/>
                <w:b/>
                <w:bCs/>
              </w:rPr>
              <w:t>Consolidated Balance Sheet Data:</w:t>
            </w:r>
          </w:p>
        </w:tc>
        <w:tc>
          <w:tcPr>
            <w:tcW w:w="79" w:type="dxa"/>
            <w:tcBorders>
              <w:top w:val="single" w:sz="4" w:space="0" w:color="auto"/>
              <w:left w:val="single" w:sz="4" w:space="0" w:color="auto"/>
              <w:bottom w:val="single" w:sz="4" w:space="0" w:color="auto"/>
              <w:right w:val="single" w:sz="4" w:space="0" w:color="auto"/>
            </w:tcBorders>
            <w:shd w:val="clear" w:color="auto" w:fill="CCEEFF"/>
            <w:vAlign w:val="bottom"/>
            <w:hideMark/>
          </w:tcPr>
          <w:p w:rsidR="00435B0B" w:rsidRPr="00435B0B" w:rsidRDefault="00435B0B" w:rsidP="00435B0B">
            <w:pPr>
              <w:rPr>
                <w:rFonts w:ascii="Times" w:eastAsia="Times New Roman" w:hAnsi="Times" w:cs="Times"/>
              </w:rPr>
            </w:pPr>
            <w:r w:rsidRPr="00435B0B">
              <w:rPr>
                <w:rFonts w:ascii="Times" w:eastAsia="Times New Roman" w:hAnsi="Times" w:cs="Times"/>
              </w:rPr>
              <w:t> </w:t>
            </w:r>
          </w:p>
        </w:tc>
        <w:tc>
          <w:tcPr>
            <w:tcW w:w="95" w:type="dxa"/>
            <w:tcBorders>
              <w:top w:val="single" w:sz="4" w:space="0" w:color="auto"/>
              <w:left w:val="single" w:sz="4" w:space="0" w:color="auto"/>
              <w:bottom w:val="single" w:sz="4" w:space="0" w:color="auto"/>
              <w:right w:val="single" w:sz="4" w:space="0" w:color="auto"/>
            </w:tcBorders>
            <w:shd w:val="clear" w:color="auto" w:fill="CCEEFF"/>
            <w:vAlign w:val="bottom"/>
            <w:hideMark/>
          </w:tcPr>
          <w:p w:rsidR="00435B0B" w:rsidRPr="00435B0B" w:rsidRDefault="00435B0B" w:rsidP="00435B0B">
            <w:pPr>
              <w:rPr>
                <w:rFonts w:ascii="Times" w:eastAsia="Times New Roman" w:hAnsi="Times" w:cs="Times"/>
              </w:rPr>
            </w:pPr>
            <w:r w:rsidRPr="00435B0B">
              <w:rPr>
                <w:rFonts w:ascii="Times" w:eastAsia="Times New Roman" w:hAnsi="Times" w:cs="Times"/>
              </w:rPr>
              <w:t> </w:t>
            </w:r>
          </w:p>
        </w:tc>
        <w:tc>
          <w:tcPr>
            <w:tcW w:w="688" w:type="dxa"/>
            <w:gridSpan w:val="2"/>
            <w:tcBorders>
              <w:top w:val="single" w:sz="4" w:space="0" w:color="auto"/>
              <w:left w:val="single" w:sz="4" w:space="0" w:color="auto"/>
              <w:bottom w:val="single" w:sz="4" w:space="0" w:color="auto"/>
              <w:right w:val="single" w:sz="4" w:space="0" w:color="auto"/>
            </w:tcBorders>
            <w:shd w:val="clear" w:color="auto" w:fill="CCEEFF"/>
            <w:vAlign w:val="bottom"/>
            <w:hideMark/>
          </w:tcPr>
          <w:p w:rsidR="00435B0B" w:rsidRPr="00435B0B" w:rsidRDefault="00435B0B" w:rsidP="00435B0B">
            <w:pPr>
              <w:rPr>
                <w:rFonts w:ascii="Times" w:eastAsia="Times New Roman" w:hAnsi="Times" w:cs="Times"/>
              </w:rPr>
            </w:pPr>
            <w:r w:rsidRPr="00435B0B">
              <w:rPr>
                <w:rFonts w:ascii="Times" w:eastAsia="Times New Roman" w:hAnsi="Times" w:cs="Times"/>
              </w:rPr>
              <w:t> </w:t>
            </w:r>
          </w:p>
        </w:tc>
        <w:tc>
          <w:tcPr>
            <w:tcW w:w="178" w:type="dxa"/>
            <w:tcBorders>
              <w:top w:val="single" w:sz="4" w:space="0" w:color="auto"/>
              <w:left w:val="single" w:sz="4" w:space="0" w:color="auto"/>
              <w:bottom w:val="single" w:sz="4" w:space="0" w:color="auto"/>
              <w:right w:val="single" w:sz="4" w:space="0" w:color="auto"/>
            </w:tcBorders>
            <w:shd w:val="clear" w:color="auto" w:fill="CCEEFF"/>
            <w:vAlign w:val="bottom"/>
            <w:hideMark/>
          </w:tcPr>
          <w:p w:rsidR="00435B0B" w:rsidRPr="00435B0B" w:rsidRDefault="00435B0B" w:rsidP="00435B0B">
            <w:pPr>
              <w:rPr>
                <w:rFonts w:ascii="Times" w:eastAsia="Times New Roman" w:hAnsi="Times" w:cs="Times"/>
              </w:rPr>
            </w:pPr>
            <w:r w:rsidRPr="00435B0B">
              <w:rPr>
                <w:rFonts w:ascii="Times" w:eastAsia="Times New Roman" w:hAnsi="Times" w:cs="Times"/>
              </w:rPr>
              <w:t> </w:t>
            </w:r>
          </w:p>
        </w:tc>
        <w:tc>
          <w:tcPr>
            <w:tcW w:w="108" w:type="dxa"/>
            <w:tcBorders>
              <w:top w:val="single" w:sz="4" w:space="0" w:color="auto"/>
              <w:left w:val="single" w:sz="4" w:space="0" w:color="auto"/>
              <w:bottom w:val="single" w:sz="4" w:space="0" w:color="auto"/>
              <w:right w:val="single" w:sz="4" w:space="0" w:color="auto"/>
            </w:tcBorders>
            <w:shd w:val="clear" w:color="auto" w:fill="CCEEFF"/>
            <w:vAlign w:val="bottom"/>
            <w:hideMark/>
          </w:tcPr>
          <w:p w:rsidR="00435B0B" w:rsidRPr="00435B0B" w:rsidRDefault="00435B0B" w:rsidP="00435B0B">
            <w:pPr>
              <w:rPr>
                <w:rFonts w:ascii="Times" w:eastAsia="Times New Roman" w:hAnsi="Times" w:cs="Times"/>
              </w:rPr>
            </w:pPr>
            <w:r w:rsidRPr="00435B0B">
              <w:rPr>
                <w:rFonts w:ascii="Times" w:eastAsia="Times New Roman" w:hAnsi="Times" w:cs="Times"/>
              </w:rPr>
              <w:t> </w:t>
            </w:r>
          </w:p>
        </w:tc>
        <w:tc>
          <w:tcPr>
            <w:tcW w:w="735" w:type="dxa"/>
            <w:tcBorders>
              <w:top w:val="single" w:sz="4" w:space="0" w:color="auto"/>
              <w:left w:val="single" w:sz="4" w:space="0" w:color="auto"/>
              <w:bottom w:val="single" w:sz="4" w:space="0" w:color="auto"/>
              <w:right w:val="single" w:sz="4" w:space="0" w:color="auto"/>
            </w:tcBorders>
            <w:shd w:val="clear" w:color="auto" w:fill="CCEEFF"/>
            <w:vAlign w:val="bottom"/>
            <w:hideMark/>
          </w:tcPr>
          <w:p w:rsidR="00435B0B" w:rsidRPr="00435B0B" w:rsidRDefault="00435B0B" w:rsidP="00435B0B">
            <w:pPr>
              <w:rPr>
                <w:rFonts w:ascii="Times" w:eastAsia="Times New Roman" w:hAnsi="Times" w:cs="Times"/>
              </w:rPr>
            </w:pPr>
            <w:r w:rsidRPr="00435B0B">
              <w:rPr>
                <w:rFonts w:ascii="Times" w:eastAsia="Times New Roman" w:hAnsi="Times" w:cs="Times"/>
              </w:rPr>
              <w:t> </w:t>
            </w:r>
          </w:p>
        </w:tc>
        <w:tc>
          <w:tcPr>
            <w:tcW w:w="178" w:type="dxa"/>
            <w:tcBorders>
              <w:top w:val="single" w:sz="4" w:space="0" w:color="auto"/>
              <w:left w:val="single" w:sz="4" w:space="0" w:color="auto"/>
              <w:bottom w:val="single" w:sz="4" w:space="0" w:color="auto"/>
              <w:right w:val="single" w:sz="4" w:space="0" w:color="auto"/>
            </w:tcBorders>
            <w:shd w:val="clear" w:color="auto" w:fill="CCEEFF"/>
            <w:vAlign w:val="bottom"/>
            <w:hideMark/>
          </w:tcPr>
          <w:p w:rsidR="00435B0B" w:rsidRPr="00435B0B" w:rsidRDefault="00435B0B" w:rsidP="00435B0B">
            <w:pPr>
              <w:rPr>
                <w:rFonts w:ascii="Times" w:eastAsia="Times New Roman" w:hAnsi="Times" w:cs="Times"/>
              </w:rPr>
            </w:pPr>
            <w:r w:rsidRPr="00435B0B">
              <w:rPr>
                <w:rFonts w:ascii="Times" w:eastAsia="Times New Roman" w:hAnsi="Times" w:cs="Times"/>
              </w:rPr>
              <w:t> </w:t>
            </w:r>
          </w:p>
        </w:tc>
        <w:tc>
          <w:tcPr>
            <w:tcW w:w="121" w:type="dxa"/>
            <w:tcBorders>
              <w:top w:val="single" w:sz="4" w:space="0" w:color="auto"/>
              <w:left w:val="single" w:sz="4" w:space="0" w:color="auto"/>
              <w:bottom w:val="single" w:sz="4" w:space="0" w:color="auto"/>
              <w:right w:val="single" w:sz="4" w:space="0" w:color="auto"/>
            </w:tcBorders>
            <w:shd w:val="clear" w:color="auto" w:fill="CCEEFF"/>
            <w:vAlign w:val="bottom"/>
            <w:hideMark/>
          </w:tcPr>
          <w:p w:rsidR="00435B0B" w:rsidRPr="00435B0B" w:rsidRDefault="00435B0B" w:rsidP="00435B0B">
            <w:pPr>
              <w:rPr>
                <w:rFonts w:ascii="Times" w:eastAsia="Times New Roman" w:hAnsi="Times" w:cs="Times"/>
              </w:rPr>
            </w:pPr>
            <w:r w:rsidRPr="00435B0B">
              <w:rPr>
                <w:rFonts w:ascii="Times" w:eastAsia="Times New Roman" w:hAnsi="Times" w:cs="Times"/>
              </w:rPr>
              <w:t> </w:t>
            </w:r>
          </w:p>
        </w:tc>
        <w:tc>
          <w:tcPr>
            <w:tcW w:w="920" w:type="dxa"/>
            <w:tcBorders>
              <w:top w:val="single" w:sz="4" w:space="0" w:color="auto"/>
              <w:left w:val="single" w:sz="4" w:space="0" w:color="auto"/>
              <w:bottom w:val="single" w:sz="4" w:space="0" w:color="auto"/>
              <w:right w:val="single" w:sz="4" w:space="0" w:color="auto"/>
            </w:tcBorders>
            <w:shd w:val="clear" w:color="auto" w:fill="CCEEFF"/>
            <w:vAlign w:val="bottom"/>
            <w:hideMark/>
          </w:tcPr>
          <w:p w:rsidR="00435B0B" w:rsidRPr="00435B0B" w:rsidRDefault="00435B0B" w:rsidP="00435B0B">
            <w:pPr>
              <w:rPr>
                <w:rFonts w:ascii="Times" w:eastAsia="Times New Roman" w:hAnsi="Times" w:cs="Times"/>
              </w:rPr>
            </w:pPr>
            <w:r w:rsidRPr="00435B0B">
              <w:rPr>
                <w:rFonts w:ascii="Times" w:eastAsia="Times New Roman" w:hAnsi="Times" w:cs="Times"/>
              </w:rPr>
              <w:t> </w:t>
            </w:r>
          </w:p>
        </w:tc>
        <w:tc>
          <w:tcPr>
            <w:tcW w:w="178" w:type="dxa"/>
            <w:tcBorders>
              <w:top w:val="single" w:sz="4" w:space="0" w:color="auto"/>
              <w:left w:val="single" w:sz="4" w:space="0" w:color="auto"/>
              <w:bottom w:val="single" w:sz="4" w:space="0" w:color="auto"/>
              <w:right w:val="single" w:sz="4" w:space="0" w:color="auto"/>
            </w:tcBorders>
            <w:shd w:val="clear" w:color="auto" w:fill="CCEEFF"/>
            <w:vAlign w:val="bottom"/>
            <w:hideMark/>
          </w:tcPr>
          <w:p w:rsidR="00435B0B" w:rsidRPr="00435B0B" w:rsidRDefault="00435B0B" w:rsidP="00435B0B">
            <w:pPr>
              <w:rPr>
                <w:rFonts w:ascii="Times" w:eastAsia="Times New Roman" w:hAnsi="Times" w:cs="Times"/>
                <w:sz w:val="24"/>
                <w:szCs w:val="24"/>
              </w:rPr>
            </w:pPr>
            <w:r w:rsidRPr="00435B0B">
              <w:rPr>
                <w:rFonts w:ascii="Times" w:eastAsia="Times New Roman" w:hAnsi="Times" w:cs="Times"/>
                <w:sz w:val="15"/>
                <w:szCs w:val="15"/>
              </w:rPr>
              <w:t> </w:t>
            </w:r>
          </w:p>
        </w:tc>
      </w:tr>
      <w:tr w:rsidR="00435B0B" w:rsidRPr="00435B0B" w:rsidTr="00435B0B">
        <w:trPr>
          <w:tblCellSpacing w:w="0" w:type="dxa"/>
          <w:jc w:val="center"/>
        </w:trPr>
        <w:tc>
          <w:tcPr>
            <w:tcW w:w="58"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35B0B" w:rsidRPr="00435B0B" w:rsidRDefault="00435B0B" w:rsidP="00435B0B">
            <w:pPr>
              <w:rPr>
                <w:rFonts w:ascii="Times" w:eastAsia="Times New Roman" w:hAnsi="Times" w:cs="Times"/>
              </w:rPr>
            </w:pPr>
            <w:r w:rsidRPr="00435B0B">
              <w:rPr>
                <w:rFonts w:ascii="Times" w:eastAsia="Times New Roman" w:hAnsi="Times" w:cs="Times"/>
              </w:rPr>
              <w:t> </w:t>
            </w:r>
          </w:p>
        </w:tc>
        <w:tc>
          <w:tcPr>
            <w:tcW w:w="488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35B0B" w:rsidRPr="00435B0B" w:rsidRDefault="00435B0B" w:rsidP="00435B0B">
            <w:pPr>
              <w:spacing w:before="100" w:beforeAutospacing="1" w:after="100" w:afterAutospacing="1"/>
              <w:ind w:left="160" w:hanging="160"/>
              <w:rPr>
                <w:rFonts w:ascii="Times" w:eastAsia="Times New Roman" w:hAnsi="Times" w:cs="Times"/>
              </w:rPr>
            </w:pPr>
            <w:r w:rsidRPr="00435B0B">
              <w:rPr>
                <w:rFonts w:ascii="Times" w:eastAsia="Times New Roman" w:hAnsi="Times" w:cs="Times"/>
              </w:rPr>
              <w:t>Cash and cash equivalents</w:t>
            </w:r>
          </w:p>
        </w:tc>
        <w:tc>
          <w:tcPr>
            <w:tcW w:w="7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35B0B" w:rsidRPr="00435B0B" w:rsidRDefault="00435B0B" w:rsidP="00435B0B">
            <w:pPr>
              <w:rPr>
                <w:rFonts w:ascii="Times" w:eastAsia="Times New Roman" w:hAnsi="Times" w:cs="Times"/>
              </w:rPr>
            </w:pPr>
            <w:r w:rsidRPr="00435B0B">
              <w:rPr>
                <w:rFonts w:ascii="Times" w:eastAsia="Times New Roman" w:hAnsi="Times" w:cs="Times"/>
              </w:rPr>
              <w:t> </w:t>
            </w:r>
          </w:p>
        </w:tc>
        <w:tc>
          <w:tcPr>
            <w:tcW w:w="9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35B0B" w:rsidRPr="00435B0B" w:rsidRDefault="00435B0B" w:rsidP="00435B0B">
            <w:pPr>
              <w:rPr>
                <w:rFonts w:ascii="Times" w:eastAsia="Times New Roman" w:hAnsi="Times" w:cs="Times"/>
              </w:rPr>
            </w:pPr>
            <w:r w:rsidRPr="00435B0B">
              <w:rPr>
                <w:rFonts w:ascii="Times" w:eastAsia="Times New Roman" w:hAnsi="Times" w:cs="Times"/>
              </w:rPr>
              <w:t>$</w:t>
            </w:r>
          </w:p>
        </w:tc>
        <w:tc>
          <w:tcPr>
            <w:tcW w:w="688"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435B0B" w:rsidRPr="00435B0B" w:rsidRDefault="00435B0B" w:rsidP="00435B0B">
            <w:pPr>
              <w:jc w:val="right"/>
              <w:rPr>
                <w:rFonts w:ascii="Times" w:eastAsia="Times New Roman" w:hAnsi="Times" w:cs="Times"/>
              </w:rPr>
            </w:pPr>
            <w:r w:rsidRPr="00435B0B">
              <w:rPr>
                <w:rFonts w:ascii="Times" w:eastAsia="Times New Roman" w:hAnsi="Times" w:cs="Times"/>
              </w:rPr>
              <w:t>243,935</w:t>
            </w:r>
          </w:p>
        </w:tc>
        <w:tc>
          <w:tcPr>
            <w:tcW w:w="178"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35B0B" w:rsidRPr="00435B0B" w:rsidRDefault="00435B0B" w:rsidP="00435B0B">
            <w:pPr>
              <w:rPr>
                <w:rFonts w:ascii="Times" w:eastAsia="Times New Roman" w:hAnsi="Times" w:cs="Times"/>
              </w:rPr>
            </w:pPr>
            <w:r w:rsidRPr="00435B0B">
              <w:rPr>
                <w:rFonts w:ascii="Times" w:eastAsia="Times New Roman" w:hAnsi="Times" w:cs="Times"/>
              </w:rPr>
              <w:t> </w:t>
            </w:r>
          </w:p>
        </w:tc>
        <w:tc>
          <w:tcPr>
            <w:tcW w:w="108"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35B0B" w:rsidRPr="00435B0B" w:rsidRDefault="00435B0B" w:rsidP="00435B0B">
            <w:pPr>
              <w:rPr>
                <w:rFonts w:ascii="Times" w:eastAsia="Times New Roman" w:hAnsi="Times" w:cs="Times"/>
              </w:rPr>
            </w:pPr>
            <w:r w:rsidRPr="00435B0B">
              <w:rPr>
                <w:rFonts w:ascii="Times" w:eastAsia="Times New Roman" w:hAnsi="Times" w:cs="Times"/>
              </w:rPr>
              <w:t>$</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35B0B" w:rsidRPr="00435B0B" w:rsidRDefault="00435B0B" w:rsidP="00435B0B">
            <w:pPr>
              <w:jc w:val="right"/>
              <w:rPr>
                <w:rFonts w:ascii="Times" w:eastAsia="Times New Roman" w:hAnsi="Times" w:cs="Times"/>
              </w:rPr>
            </w:pPr>
            <w:r w:rsidRPr="00435B0B">
              <w:rPr>
                <w:rFonts w:ascii="Times" w:eastAsia="Times New Roman" w:hAnsi="Times" w:cs="Times"/>
              </w:rPr>
              <w:t>243,935</w:t>
            </w:r>
          </w:p>
        </w:tc>
        <w:tc>
          <w:tcPr>
            <w:tcW w:w="178"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35B0B" w:rsidRPr="00435B0B" w:rsidRDefault="00435B0B" w:rsidP="00435B0B">
            <w:pPr>
              <w:rPr>
                <w:rFonts w:ascii="Times" w:eastAsia="Times New Roman" w:hAnsi="Times" w:cs="Times"/>
              </w:rPr>
            </w:pPr>
            <w:r w:rsidRPr="00435B0B">
              <w:rPr>
                <w:rFonts w:ascii="Times" w:eastAsia="Times New Roman" w:hAnsi="Times" w:cs="Times"/>
              </w:rPr>
              <w:t> </w:t>
            </w:r>
          </w:p>
        </w:tc>
        <w:tc>
          <w:tcPr>
            <w:tcW w:w="12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35B0B" w:rsidRPr="00435B0B" w:rsidRDefault="00435B0B" w:rsidP="00435B0B">
            <w:pPr>
              <w:rPr>
                <w:rFonts w:ascii="Times" w:eastAsia="Times New Roman" w:hAnsi="Times" w:cs="Times"/>
              </w:rPr>
            </w:pPr>
            <w:r w:rsidRPr="00435B0B">
              <w:rPr>
                <w:rFonts w:ascii="Times" w:eastAsia="Times New Roman" w:hAnsi="Times" w:cs="Times"/>
              </w:rPr>
              <w:t>$</w:t>
            </w:r>
          </w:p>
        </w:tc>
        <w:tc>
          <w:tcPr>
            <w:tcW w:w="92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35B0B" w:rsidRPr="00435B0B" w:rsidRDefault="00435B0B" w:rsidP="00435B0B">
            <w:pPr>
              <w:jc w:val="right"/>
              <w:rPr>
                <w:rFonts w:ascii="Times" w:eastAsia="Times New Roman" w:hAnsi="Times" w:cs="Times"/>
              </w:rPr>
            </w:pPr>
            <w:r w:rsidRPr="00435B0B">
              <w:rPr>
                <w:rFonts w:ascii="Times" w:eastAsia="Times New Roman" w:hAnsi="Times" w:cs="Times"/>
              </w:rPr>
              <w:t>722,735</w:t>
            </w:r>
          </w:p>
        </w:tc>
        <w:tc>
          <w:tcPr>
            <w:tcW w:w="178"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35B0B" w:rsidRPr="00435B0B" w:rsidRDefault="00435B0B" w:rsidP="00435B0B">
            <w:pPr>
              <w:rPr>
                <w:rFonts w:ascii="Times" w:eastAsia="Times New Roman" w:hAnsi="Times" w:cs="Times"/>
                <w:sz w:val="24"/>
                <w:szCs w:val="24"/>
              </w:rPr>
            </w:pPr>
            <w:r w:rsidRPr="00435B0B">
              <w:rPr>
                <w:rFonts w:ascii="Times" w:eastAsia="Times New Roman" w:hAnsi="Times" w:cs="Times"/>
                <w:sz w:val="15"/>
                <w:szCs w:val="15"/>
              </w:rPr>
              <w:t> </w:t>
            </w:r>
          </w:p>
        </w:tc>
      </w:tr>
      <w:tr w:rsidR="00435B0B" w:rsidRPr="00435B0B" w:rsidTr="00435B0B">
        <w:trPr>
          <w:tblCellSpacing w:w="0" w:type="dxa"/>
          <w:jc w:val="center"/>
        </w:trPr>
        <w:tc>
          <w:tcPr>
            <w:tcW w:w="58" w:type="dxa"/>
            <w:tcBorders>
              <w:top w:val="single" w:sz="4" w:space="0" w:color="auto"/>
              <w:left w:val="single" w:sz="4" w:space="0" w:color="auto"/>
              <w:bottom w:val="single" w:sz="4" w:space="0" w:color="auto"/>
              <w:right w:val="single" w:sz="4" w:space="0" w:color="auto"/>
            </w:tcBorders>
            <w:shd w:val="clear" w:color="auto" w:fill="CCEEFF"/>
            <w:vAlign w:val="bottom"/>
            <w:hideMark/>
          </w:tcPr>
          <w:p w:rsidR="00435B0B" w:rsidRPr="00435B0B" w:rsidRDefault="00435B0B" w:rsidP="00435B0B">
            <w:pPr>
              <w:rPr>
                <w:rFonts w:ascii="Times" w:eastAsia="Times New Roman" w:hAnsi="Times" w:cs="Times"/>
              </w:rPr>
            </w:pPr>
            <w:r w:rsidRPr="00435B0B">
              <w:rPr>
                <w:rFonts w:ascii="Times" w:eastAsia="Times New Roman" w:hAnsi="Times" w:cs="Times"/>
              </w:rPr>
              <w:t> </w:t>
            </w:r>
          </w:p>
        </w:tc>
        <w:tc>
          <w:tcPr>
            <w:tcW w:w="4882" w:type="dxa"/>
            <w:tcBorders>
              <w:top w:val="single" w:sz="4" w:space="0" w:color="auto"/>
              <w:left w:val="single" w:sz="4" w:space="0" w:color="auto"/>
              <w:bottom w:val="single" w:sz="4" w:space="0" w:color="auto"/>
              <w:right w:val="single" w:sz="4" w:space="0" w:color="auto"/>
            </w:tcBorders>
            <w:shd w:val="clear" w:color="auto" w:fill="CCEEFF"/>
            <w:vAlign w:val="bottom"/>
            <w:hideMark/>
          </w:tcPr>
          <w:p w:rsidR="00435B0B" w:rsidRPr="00435B0B" w:rsidRDefault="00435B0B" w:rsidP="00435B0B">
            <w:pPr>
              <w:spacing w:before="100" w:beforeAutospacing="1" w:after="100" w:afterAutospacing="1"/>
              <w:ind w:left="160" w:hanging="160"/>
              <w:rPr>
                <w:rFonts w:ascii="Times" w:eastAsia="Times New Roman" w:hAnsi="Times" w:cs="Times"/>
              </w:rPr>
            </w:pPr>
            <w:r w:rsidRPr="00435B0B">
              <w:rPr>
                <w:rFonts w:ascii="Times" w:eastAsia="Times New Roman" w:hAnsi="Times" w:cs="Times"/>
              </w:rPr>
              <w:t>Working capital (deficit)</w:t>
            </w:r>
          </w:p>
        </w:tc>
        <w:tc>
          <w:tcPr>
            <w:tcW w:w="79" w:type="dxa"/>
            <w:tcBorders>
              <w:top w:val="single" w:sz="4" w:space="0" w:color="auto"/>
              <w:left w:val="single" w:sz="4" w:space="0" w:color="auto"/>
              <w:bottom w:val="single" w:sz="4" w:space="0" w:color="auto"/>
              <w:right w:val="single" w:sz="4" w:space="0" w:color="auto"/>
            </w:tcBorders>
            <w:shd w:val="clear" w:color="auto" w:fill="CCEEFF"/>
            <w:vAlign w:val="bottom"/>
            <w:hideMark/>
          </w:tcPr>
          <w:p w:rsidR="00435B0B" w:rsidRPr="00435B0B" w:rsidRDefault="00435B0B" w:rsidP="00435B0B">
            <w:pPr>
              <w:rPr>
                <w:rFonts w:ascii="Times" w:eastAsia="Times New Roman" w:hAnsi="Times" w:cs="Times"/>
              </w:rPr>
            </w:pPr>
            <w:r w:rsidRPr="00435B0B">
              <w:rPr>
                <w:rFonts w:ascii="Times" w:eastAsia="Times New Roman" w:hAnsi="Times" w:cs="Times"/>
              </w:rPr>
              <w:t> </w:t>
            </w:r>
          </w:p>
        </w:tc>
        <w:tc>
          <w:tcPr>
            <w:tcW w:w="95" w:type="dxa"/>
            <w:tcBorders>
              <w:top w:val="single" w:sz="4" w:space="0" w:color="auto"/>
              <w:left w:val="single" w:sz="4" w:space="0" w:color="auto"/>
              <w:bottom w:val="single" w:sz="4" w:space="0" w:color="auto"/>
              <w:right w:val="single" w:sz="4" w:space="0" w:color="auto"/>
            </w:tcBorders>
            <w:shd w:val="clear" w:color="auto" w:fill="CCEEFF"/>
            <w:vAlign w:val="bottom"/>
            <w:hideMark/>
          </w:tcPr>
          <w:p w:rsidR="00435B0B" w:rsidRPr="00435B0B" w:rsidRDefault="00435B0B" w:rsidP="00435B0B">
            <w:pPr>
              <w:rPr>
                <w:rFonts w:ascii="Times" w:eastAsia="Times New Roman" w:hAnsi="Times" w:cs="Times"/>
              </w:rPr>
            </w:pPr>
            <w:r w:rsidRPr="00435B0B">
              <w:rPr>
                <w:rFonts w:ascii="Times" w:eastAsia="Times New Roman" w:hAnsi="Times" w:cs="Times"/>
              </w:rPr>
              <w:t> </w:t>
            </w:r>
          </w:p>
        </w:tc>
        <w:tc>
          <w:tcPr>
            <w:tcW w:w="688" w:type="dxa"/>
            <w:gridSpan w:val="2"/>
            <w:tcBorders>
              <w:top w:val="single" w:sz="4" w:space="0" w:color="auto"/>
              <w:left w:val="single" w:sz="4" w:space="0" w:color="auto"/>
              <w:bottom w:val="single" w:sz="4" w:space="0" w:color="auto"/>
              <w:right w:val="single" w:sz="4" w:space="0" w:color="auto"/>
            </w:tcBorders>
            <w:shd w:val="clear" w:color="auto" w:fill="CCEEFF"/>
            <w:vAlign w:val="bottom"/>
            <w:hideMark/>
          </w:tcPr>
          <w:p w:rsidR="00435B0B" w:rsidRPr="00435B0B" w:rsidRDefault="00435B0B" w:rsidP="00435B0B">
            <w:pPr>
              <w:jc w:val="right"/>
              <w:rPr>
                <w:rFonts w:ascii="Times" w:eastAsia="Times New Roman" w:hAnsi="Times" w:cs="Times"/>
              </w:rPr>
            </w:pPr>
            <w:r w:rsidRPr="00435B0B">
              <w:rPr>
                <w:rFonts w:ascii="Times" w:eastAsia="Times New Roman" w:hAnsi="Times" w:cs="Times"/>
              </w:rPr>
              <w:t>(301,050</w:t>
            </w:r>
          </w:p>
        </w:tc>
        <w:tc>
          <w:tcPr>
            <w:tcW w:w="178" w:type="dxa"/>
            <w:tcBorders>
              <w:top w:val="single" w:sz="4" w:space="0" w:color="auto"/>
              <w:left w:val="single" w:sz="4" w:space="0" w:color="auto"/>
              <w:bottom w:val="single" w:sz="4" w:space="0" w:color="auto"/>
              <w:right w:val="single" w:sz="4" w:space="0" w:color="auto"/>
            </w:tcBorders>
            <w:shd w:val="clear" w:color="auto" w:fill="CCEEFF"/>
            <w:vAlign w:val="bottom"/>
            <w:hideMark/>
          </w:tcPr>
          <w:p w:rsidR="00435B0B" w:rsidRPr="00435B0B" w:rsidRDefault="00435B0B" w:rsidP="00435B0B">
            <w:pPr>
              <w:rPr>
                <w:rFonts w:ascii="Times" w:eastAsia="Times New Roman" w:hAnsi="Times" w:cs="Times"/>
              </w:rPr>
            </w:pPr>
            <w:r w:rsidRPr="00435B0B">
              <w:rPr>
                <w:rFonts w:ascii="Times" w:eastAsia="Times New Roman" w:hAnsi="Times" w:cs="Times"/>
              </w:rPr>
              <w:t>)</w:t>
            </w:r>
          </w:p>
        </w:tc>
        <w:tc>
          <w:tcPr>
            <w:tcW w:w="108" w:type="dxa"/>
            <w:tcBorders>
              <w:top w:val="single" w:sz="4" w:space="0" w:color="auto"/>
              <w:left w:val="single" w:sz="4" w:space="0" w:color="auto"/>
              <w:bottom w:val="single" w:sz="4" w:space="0" w:color="auto"/>
              <w:right w:val="single" w:sz="4" w:space="0" w:color="auto"/>
            </w:tcBorders>
            <w:shd w:val="clear" w:color="auto" w:fill="CCEEFF"/>
            <w:vAlign w:val="bottom"/>
            <w:hideMark/>
          </w:tcPr>
          <w:p w:rsidR="00435B0B" w:rsidRPr="00435B0B" w:rsidRDefault="00435B0B" w:rsidP="00435B0B">
            <w:pPr>
              <w:rPr>
                <w:rFonts w:ascii="Times" w:eastAsia="Times New Roman" w:hAnsi="Times" w:cs="Times"/>
              </w:rPr>
            </w:pPr>
            <w:r w:rsidRPr="00435B0B">
              <w:rPr>
                <w:rFonts w:ascii="Times" w:eastAsia="Times New Roman" w:hAnsi="Times" w:cs="Times"/>
              </w:rPr>
              <w:t> </w:t>
            </w:r>
          </w:p>
        </w:tc>
        <w:tc>
          <w:tcPr>
            <w:tcW w:w="735" w:type="dxa"/>
            <w:tcBorders>
              <w:top w:val="single" w:sz="4" w:space="0" w:color="auto"/>
              <w:left w:val="single" w:sz="4" w:space="0" w:color="auto"/>
              <w:bottom w:val="single" w:sz="4" w:space="0" w:color="auto"/>
              <w:right w:val="single" w:sz="4" w:space="0" w:color="auto"/>
            </w:tcBorders>
            <w:shd w:val="clear" w:color="auto" w:fill="CCEEFF"/>
            <w:vAlign w:val="bottom"/>
            <w:hideMark/>
          </w:tcPr>
          <w:p w:rsidR="00435B0B" w:rsidRPr="00435B0B" w:rsidRDefault="00435B0B" w:rsidP="00435B0B">
            <w:pPr>
              <w:jc w:val="right"/>
              <w:rPr>
                <w:rFonts w:ascii="Times" w:eastAsia="Times New Roman" w:hAnsi="Times" w:cs="Times"/>
              </w:rPr>
            </w:pPr>
            <w:r w:rsidRPr="00435B0B">
              <w:rPr>
                <w:rFonts w:ascii="Times" w:eastAsia="Times New Roman" w:hAnsi="Times" w:cs="Times"/>
              </w:rPr>
              <w:t>(301,050</w:t>
            </w:r>
          </w:p>
        </w:tc>
        <w:tc>
          <w:tcPr>
            <w:tcW w:w="178" w:type="dxa"/>
            <w:tcBorders>
              <w:top w:val="single" w:sz="4" w:space="0" w:color="auto"/>
              <w:left w:val="single" w:sz="4" w:space="0" w:color="auto"/>
              <w:bottom w:val="single" w:sz="4" w:space="0" w:color="auto"/>
              <w:right w:val="single" w:sz="4" w:space="0" w:color="auto"/>
            </w:tcBorders>
            <w:shd w:val="clear" w:color="auto" w:fill="CCEEFF"/>
            <w:vAlign w:val="bottom"/>
            <w:hideMark/>
          </w:tcPr>
          <w:p w:rsidR="00435B0B" w:rsidRPr="00435B0B" w:rsidRDefault="00435B0B" w:rsidP="00435B0B">
            <w:pPr>
              <w:rPr>
                <w:rFonts w:ascii="Times" w:eastAsia="Times New Roman" w:hAnsi="Times" w:cs="Times"/>
              </w:rPr>
            </w:pPr>
            <w:r w:rsidRPr="00435B0B">
              <w:rPr>
                <w:rFonts w:ascii="Times" w:eastAsia="Times New Roman" w:hAnsi="Times" w:cs="Times"/>
              </w:rPr>
              <w:t>)</w:t>
            </w:r>
          </w:p>
        </w:tc>
        <w:tc>
          <w:tcPr>
            <w:tcW w:w="121" w:type="dxa"/>
            <w:tcBorders>
              <w:top w:val="single" w:sz="4" w:space="0" w:color="auto"/>
              <w:left w:val="single" w:sz="4" w:space="0" w:color="auto"/>
              <w:bottom w:val="single" w:sz="4" w:space="0" w:color="auto"/>
              <w:right w:val="single" w:sz="4" w:space="0" w:color="auto"/>
            </w:tcBorders>
            <w:shd w:val="clear" w:color="auto" w:fill="CCEEFF"/>
            <w:vAlign w:val="bottom"/>
            <w:hideMark/>
          </w:tcPr>
          <w:p w:rsidR="00435B0B" w:rsidRPr="00435B0B" w:rsidRDefault="00435B0B" w:rsidP="00435B0B">
            <w:pPr>
              <w:rPr>
                <w:rFonts w:ascii="Times" w:eastAsia="Times New Roman" w:hAnsi="Times" w:cs="Times"/>
              </w:rPr>
            </w:pPr>
            <w:r w:rsidRPr="00435B0B">
              <w:rPr>
                <w:rFonts w:ascii="Times" w:eastAsia="Times New Roman" w:hAnsi="Times" w:cs="Times"/>
              </w:rPr>
              <w:t> </w:t>
            </w:r>
          </w:p>
        </w:tc>
        <w:tc>
          <w:tcPr>
            <w:tcW w:w="920" w:type="dxa"/>
            <w:tcBorders>
              <w:top w:val="single" w:sz="4" w:space="0" w:color="auto"/>
              <w:left w:val="single" w:sz="4" w:space="0" w:color="auto"/>
              <w:bottom w:val="single" w:sz="4" w:space="0" w:color="auto"/>
              <w:right w:val="single" w:sz="4" w:space="0" w:color="auto"/>
            </w:tcBorders>
            <w:shd w:val="clear" w:color="auto" w:fill="CCEEFF"/>
            <w:vAlign w:val="bottom"/>
            <w:hideMark/>
          </w:tcPr>
          <w:p w:rsidR="00435B0B" w:rsidRPr="00435B0B" w:rsidRDefault="00435B0B" w:rsidP="00435B0B">
            <w:pPr>
              <w:jc w:val="right"/>
              <w:rPr>
                <w:rFonts w:ascii="Times" w:eastAsia="Times New Roman" w:hAnsi="Times" w:cs="Times"/>
              </w:rPr>
            </w:pPr>
            <w:r w:rsidRPr="00435B0B">
              <w:rPr>
                <w:rFonts w:ascii="Times" w:eastAsia="Times New Roman" w:hAnsi="Times" w:cs="Times"/>
              </w:rPr>
              <w:t>177,750</w:t>
            </w:r>
          </w:p>
        </w:tc>
        <w:tc>
          <w:tcPr>
            <w:tcW w:w="178" w:type="dxa"/>
            <w:tcBorders>
              <w:top w:val="single" w:sz="4" w:space="0" w:color="auto"/>
              <w:left w:val="single" w:sz="4" w:space="0" w:color="auto"/>
              <w:bottom w:val="single" w:sz="4" w:space="0" w:color="auto"/>
              <w:right w:val="single" w:sz="4" w:space="0" w:color="auto"/>
            </w:tcBorders>
            <w:shd w:val="clear" w:color="auto" w:fill="CCEEFF"/>
            <w:vAlign w:val="bottom"/>
            <w:hideMark/>
          </w:tcPr>
          <w:p w:rsidR="00435B0B" w:rsidRPr="00435B0B" w:rsidRDefault="00435B0B" w:rsidP="00435B0B">
            <w:pPr>
              <w:rPr>
                <w:rFonts w:ascii="Times" w:eastAsia="Times New Roman" w:hAnsi="Times" w:cs="Times"/>
                <w:sz w:val="24"/>
                <w:szCs w:val="24"/>
              </w:rPr>
            </w:pPr>
            <w:r w:rsidRPr="00435B0B">
              <w:rPr>
                <w:rFonts w:ascii="Times" w:eastAsia="Times New Roman" w:hAnsi="Times" w:cs="Times"/>
                <w:sz w:val="15"/>
                <w:szCs w:val="15"/>
              </w:rPr>
              <w:t> </w:t>
            </w:r>
          </w:p>
        </w:tc>
      </w:tr>
      <w:tr w:rsidR="00435B0B" w:rsidRPr="00435B0B" w:rsidTr="00435B0B">
        <w:trPr>
          <w:tblCellSpacing w:w="0" w:type="dxa"/>
          <w:jc w:val="center"/>
        </w:trPr>
        <w:tc>
          <w:tcPr>
            <w:tcW w:w="58"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35B0B" w:rsidRPr="00435B0B" w:rsidRDefault="00435B0B" w:rsidP="00435B0B">
            <w:pPr>
              <w:rPr>
                <w:rFonts w:ascii="Times" w:eastAsia="Times New Roman" w:hAnsi="Times" w:cs="Times"/>
              </w:rPr>
            </w:pPr>
            <w:r w:rsidRPr="00435B0B">
              <w:rPr>
                <w:rFonts w:ascii="Times" w:eastAsia="Times New Roman" w:hAnsi="Times" w:cs="Times"/>
              </w:rPr>
              <w:t> </w:t>
            </w:r>
          </w:p>
        </w:tc>
        <w:tc>
          <w:tcPr>
            <w:tcW w:w="488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35B0B" w:rsidRPr="00435B0B" w:rsidRDefault="00435B0B" w:rsidP="00435B0B">
            <w:pPr>
              <w:spacing w:before="100" w:beforeAutospacing="1" w:after="100" w:afterAutospacing="1"/>
              <w:ind w:left="160" w:hanging="160"/>
              <w:rPr>
                <w:rFonts w:ascii="Times" w:eastAsia="Times New Roman" w:hAnsi="Times" w:cs="Times"/>
              </w:rPr>
            </w:pPr>
            <w:r w:rsidRPr="00435B0B">
              <w:rPr>
                <w:rFonts w:ascii="Times" w:eastAsia="Times New Roman" w:hAnsi="Times" w:cs="Times"/>
              </w:rPr>
              <w:t>Total assets</w:t>
            </w:r>
          </w:p>
        </w:tc>
        <w:tc>
          <w:tcPr>
            <w:tcW w:w="7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35B0B" w:rsidRPr="00435B0B" w:rsidRDefault="00435B0B" w:rsidP="00435B0B">
            <w:pPr>
              <w:rPr>
                <w:rFonts w:ascii="Times" w:eastAsia="Times New Roman" w:hAnsi="Times" w:cs="Times"/>
              </w:rPr>
            </w:pPr>
            <w:r w:rsidRPr="00435B0B">
              <w:rPr>
                <w:rFonts w:ascii="Times" w:eastAsia="Times New Roman" w:hAnsi="Times" w:cs="Times"/>
              </w:rPr>
              <w:t> </w:t>
            </w:r>
          </w:p>
        </w:tc>
        <w:tc>
          <w:tcPr>
            <w:tcW w:w="9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35B0B" w:rsidRPr="00435B0B" w:rsidRDefault="00435B0B" w:rsidP="00435B0B">
            <w:pPr>
              <w:rPr>
                <w:rFonts w:ascii="Times" w:eastAsia="Times New Roman" w:hAnsi="Times" w:cs="Times"/>
              </w:rPr>
            </w:pPr>
            <w:r w:rsidRPr="00435B0B">
              <w:rPr>
                <w:rFonts w:ascii="Times" w:eastAsia="Times New Roman" w:hAnsi="Times" w:cs="Times"/>
              </w:rPr>
              <w:t> </w:t>
            </w:r>
          </w:p>
        </w:tc>
        <w:tc>
          <w:tcPr>
            <w:tcW w:w="688"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435B0B" w:rsidRPr="00435B0B" w:rsidRDefault="00435B0B" w:rsidP="00435B0B">
            <w:pPr>
              <w:jc w:val="right"/>
              <w:rPr>
                <w:rFonts w:ascii="Times" w:eastAsia="Times New Roman" w:hAnsi="Times" w:cs="Times"/>
              </w:rPr>
            </w:pPr>
            <w:r w:rsidRPr="00435B0B">
              <w:rPr>
                <w:rFonts w:ascii="Times" w:eastAsia="Times New Roman" w:hAnsi="Times" w:cs="Times"/>
              </w:rPr>
              <w:t>795,567</w:t>
            </w:r>
          </w:p>
        </w:tc>
        <w:tc>
          <w:tcPr>
            <w:tcW w:w="178"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35B0B" w:rsidRPr="00435B0B" w:rsidRDefault="00435B0B" w:rsidP="00435B0B">
            <w:pPr>
              <w:rPr>
                <w:rFonts w:ascii="Times" w:eastAsia="Times New Roman" w:hAnsi="Times" w:cs="Times"/>
              </w:rPr>
            </w:pPr>
            <w:r w:rsidRPr="00435B0B">
              <w:rPr>
                <w:rFonts w:ascii="Times" w:eastAsia="Times New Roman" w:hAnsi="Times" w:cs="Times"/>
              </w:rPr>
              <w:t> </w:t>
            </w:r>
          </w:p>
        </w:tc>
        <w:tc>
          <w:tcPr>
            <w:tcW w:w="108"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35B0B" w:rsidRPr="00435B0B" w:rsidRDefault="00435B0B" w:rsidP="00435B0B">
            <w:pPr>
              <w:rPr>
                <w:rFonts w:ascii="Times" w:eastAsia="Times New Roman" w:hAnsi="Times" w:cs="Times"/>
              </w:rPr>
            </w:pPr>
            <w:r w:rsidRPr="00435B0B">
              <w:rPr>
                <w:rFonts w:ascii="Times" w:eastAsia="Times New Roman" w:hAnsi="Times" w:cs="Times"/>
              </w:rPr>
              <w:t> </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35B0B" w:rsidRPr="00435B0B" w:rsidRDefault="00435B0B" w:rsidP="00435B0B">
            <w:pPr>
              <w:jc w:val="right"/>
              <w:rPr>
                <w:rFonts w:ascii="Times" w:eastAsia="Times New Roman" w:hAnsi="Times" w:cs="Times"/>
              </w:rPr>
            </w:pPr>
            <w:r w:rsidRPr="00435B0B">
              <w:rPr>
                <w:rFonts w:ascii="Times" w:eastAsia="Times New Roman" w:hAnsi="Times" w:cs="Times"/>
              </w:rPr>
              <w:t>795,567</w:t>
            </w:r>
          </w:p>
        </w:tc>
        <w:tc>
          <w:tcPr>
            <w:tcW w:w="178"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35B0B" w:rsidRPr="00435B0B" w:rsidRDefault="00435B0B" w:rsidP="00435B0B">
            <w:pPr>
              <w:rPr>
                <w:rFonts w:ascii="Times" w:eastAsia="Times New Roman" w:hAnsi="Times" w:cs="Times"/>
              </w:rPr>
            </w:pPr>
            <w:r w:rsidRPr="00435B0B">
              <w:rPr>
                <w:rFonts w:ascii="Times" w:eastAsia="Times New Roman" w:hAnsi="Times" w:cs="Times"/>
              </w:rPr>
              <w:t> </w:t>
            </w:r>
          </w:p>
        </w:tc>
        <w:tc>
          <w:tcPr>
            <w:tcW w:w="12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35B0B" w:rsidRPr="00435B0B" w:rsidRDefault="00435B0B" w:rsidP="00435B0B">
            <w:pPr>
              <w:rPr>
                <w:rFonts w:ascii="Times" w:eastAsia="Times New Roman" w:hAnsi="Times" w:cs="Times"/>
              </w:rPr>
            </w:pPr>
            <w:r w:rsidRPr="00435B0B">
              <w:rPr>
                <w:rFonts w:ascii="Times" w:eastAsia="Times New Roman" w:hAnsi="Times" w:cs="Times"/>
              </w:rPr>
              <w:t> </w:t>
            </w:r>
          </w:p>
        </w:tc>
        <w:tc>
          <w:tcPr>
            <w:tcW w:w="92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35B0B" w:rsidRPr="00435B0B" w:rsidRDefault="00435B0B" w:rsidP="00435B0B">
            <w:pPr>
              <w:jc w:val="right"/>
              <w:rPr>
                <w:rFonts w:ascii="Times" w:eastAsia="Times New Roman" w:hAnsi="Times" w:cs="Times"/>
              </w:rPr>
            </w:pPr>
            <w:r w:rsidRPr="00435B0B">
              <w:rPr>
                <w:rFonts w:ascii="Times" w:eastAsia="Times New Roman" w:hAnsi="Times" w:cs="Times"/>
              </w:rPr>
              <w:t>1,274,367</w:t>
            </w:r>
          </w:p>
        </w:tc>
        <w:tc>
          <w:tcPr>
            <w:tcW w:w="178"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35B0B" w:rsidRPr="00435B0B" w:rsidRDefault="00435B0B" w:rsidP="00435B0B">
            <w:pPr>
              <w:rPr>
                <w:rFonts w:ascii="Times" w:eastAsia="Times New Roman" w:hAnsi="Times" w:cs="Times"/>
                <w:sz w:val="24"/>
                <w:szCs w:val="24"/>
              </w:rPr>
            </w:pPr>
            <w:r w:rsidRPr="00435B0B">
              <w:rPr>
                <w:rFonts w:ascii="Times" w:eastAsia="Times New Roman" w:hAnsi="Times" w:cs="Times"/>
                <w:sz w:val="15"/>
                <w:szCs w:val="15"/>
              </w:rPr>
              <w:t> </w:t>
            </w:r>
          </w:p>
        </w:tc>
      </w:tr>
      <w:tr w:rsidR="00435B0B" w:rsidRPr="00435B0B" w:rsidTr="00435B0B">
        <w:trPr>
          <w:tblCellSpacing w:w="0" w:type="dxa"/>
          <w:jc w:val="center"/>
        </w:trPr>
        <w:tc>
          <w:tcPr>
            <w:tcW w:w="58" w:type="dxa"/>
            <w:tcBorders>
              <w:top w:val="single" w:sz="4" w:space="0" w:color="auto"/>
              <w:left w:val="single" w:sz="4" w:space="0" w:color="auto"/>
              <w:bottom w:val="single" w:sz="4" w:space="0" w:color="auto"/>
              <w:right w:val="single" w:sz="4" w:space="0" w:color="auto"/>
            </w:tcBorders>
            <w:shd w:val="clear" w:color="auto" w:fill="CCEEFF"/>
            <w:vAlign w:val="bottom"/>
            <w:hideMark/>
          </w:tcPr>
          <w:p w:rsidR="00435B0B" w:rsidRPr="00435B0B" w:rsidRDefault="00435B0B" w:rsidP="00435B0B">
            <w:pPr>
              <w:rPr>
                <w:rFonts w:ascii="Times" w:eastAsia="Times New Roman" w:hAnsi="Times" w:cs="Times"/>
              </w:rPr>
            </w:pPr>
            <w:r w:rsidRPr="00435B0B">
              <w:rPr>
                <w:rFonts w:ascii="Times" w:eastAsia="Times New Roman" w:hAnsi="Times" w:cs="Times"/>
              </w:rPr>
              <w:t> </w:t>
            </w:r>
          </w:p>
        </w:tc>
        <w:tc>
          <w:tcPr>
            <w:tcW w:w="4882" w:type="dxa"/>
            <w:tcBorders>
              <w:top w:val="single" w:sz="4" w:space="0" w:color="auto"/>
              <w:left w:val="single" w:sz="4" w:space="0" w:color="auto"/>
              <w:bottom w:val="single" w:sz="4" w:space="0" w:color="auto"/>
              <w:right w:val="single" w:sz="4" w:space="0" w:color="auto"/>
            </w:tcBorders>
            <w:shd w:val="clear" w:color="auto" w:fill="CCEEFF"/>
            <w:vAlign w:val="bottom"/>
            <w:hideMark/>
          </w:tcPr>
          <w:p w:rsidR="00435B0B" w:rsidRPr="00435B0B" w:rsidRDefault="00435B0B" w:rsidP="00435B0B">
            <w:pPr>
              <w:spacing w:before="100" w:beforeAutospacing="1" w:after="100" w:afterAutospacing="1"/>
              <w:ind w:left="160" w:hanging="160"/>
              <w:rPr>
                <w:rFonts w:ascii="Times" w:eastAsia="Times New Roman" w:hAnsi="Times" w:cs="Times"/>
              </w:rPr>
            </w:pPr>
            <w:r w:rsidRPr="00435B0B">
              <w:rPr>
                <w:rFonts w:ascii="Times" w:eastAsia="Times New Roman" w:hAnsi="Times" w:cs="Times"/>
              </w:rPr>
              <w:t>Total long-term liabilities</w:t>
            </w:r>
          </w:p>
        </w:tc>
        <w:tc>
          <w:tcPr>
            <w:tcW w:w="79" w:type="dxa"/>
            <w:tcBorders>
              <w:top w:val="single" w:sz="4" w:space="0" w:color="auto"/>
              <w:left w:val="single" w:sz="4" w:space="0" w:color="auto"/>
              <w:bottom w:val="single" w:sz="4" w:space="0" w:color="auto"/>
              <w:right w:val="single" w:sz="4" w:space="0" w:color="auto"/>
            </w:tcBorders>
            <w:shd w:val="clear" w:color="auto" w:fill="CCEEFF"/>
            <w:vAlign w:val="bottom"/>
            <w:hideMark/>
          </w:tcPr>
          <w:p w:rsidR="00435B0B" w:rsidRPr="00435B0B" w:rsidRDefault="00435B0B" w:rsidP="00435B0B">
            <w:pPr>
              <w:rPr>
                <w:rFonts w:ascii="Times" w:eastAsia="Times New Roman" w:hAnsi="Times" w:cs="Times"/>
              </w:rPr>
            </w:pPr>
            <w:r w:rsidRPr="00435B0B">
              <w:rPr>
                <w:rFonts w:ascii="Times" w:eastAsia="Times New Roman" w:hAnsi="Times" w:cs="Times"/>
              </w:rPr>
              <w:t> </w:t>
            </w:r>
          </w:p>
        </w:tc>
        <w:tc>
          <w:tcPr>
            <w:tcW w:w="95" w:type="dxa"/>
            <w:tcBorders>
              <w:top w:val="single" w:sz="4" w:space="0" w:color="auto"/>
              <w:left w:val="single" w:sz="4" w:space="0" w:color="auto"/>
              <w:bottom w:val="single" w:sz="4" w:space="0" w:color="auto"/>
              <w:right w:val="single" w:sz="4" w:space="0" w:color="auto"/>
            </w:tcBorders>
            <w:shd w:val="clear" w:color="auto" w:fill="CCEEFF"/>
            <w:vAlign w:val="bottom"/>
            <w:hideMark/>
          </w:tcPr>
          <w:p w:rsidR="00435B0B" w:rsidRPr="00435B0B" w:rsidRDefault="00435B0B" w:rsidP="00435B0B">
            <w:pPr>
              <w:rPr>
                <w:rFonts w:ascii="Times" w:eastAsia="Times New Roman" w:hAnsi="Times" w:cs="Times"/>
              </w:rPr>
            </w:pPr>
            <w:r w:rsidRPr="00435B0B">
              <w:rPr>
                <w:rFonts w:ascii="Times" w:eastAsia="Times New Roman" w:hAnsi="Times" w:cs="Times"/>
              </w:rPr>
              <w:t> </w:t>
            </w:r>
          </w:p>
        </w:tc>
        <w:tc>
          <w:tcPr>
            <w:tcW w:w="688" w:type="dxa"/>
            <w:gridSpan w:val="2"/>
            <w:tcBorders>
              <w:top w:val="single" w:sz="4" w:space="0" w:color="auto"/>
              <w:left w:val="single" w:sz="4" w:space="0" w:color="auto"/>
              <w:bottom w:val="single" w:sz="4" w:space="0" w:color="auto"/>
              <w:right w:val="single" w:sz="4" w:space="0" w:color="auto"/>
            </w:tcBorders>
            <w:shd w:val="clear" w:color="auto" w:fill="CCEEFF"/>
            <w:vAlign w:val="bottom"/>
            <w:hideMark/>
          </w:tcPr>
          <w:p w:rsidR="00435B0B" w:rsidRPr="00435B0B" w:rsidRDefault="00435B0B" w:rsidP="00435B0B">
            <w:pPr>
              <w:jc w:val="right"/>
              <w:rPr>
                <w:rFonts w:ascii="Times" w:eastAsia="Times New Roman" w:hAnsi="Times" w:cs="Times"/>
              </w:rPr>
            </w:pPr>
            <w:r w:rsidRPr="00435B0B">
              <w:rPr>
                <w:rFonts w:ascii="Times" w:eastAsia="Times New Roman" w:hAnsi="Times" w:cs="Times"/>
              </w:rPr>
              <w:t>44,507</w:t>
            </w:r>
          </w:p>
        </w:tc>
        <w:tc>
          <w:tcPr>
            <w:tcW w:w="178" w:type="dxa"/>
            <w:tcBorders>
              <w:top w:val="single" w:sz="4" w:space="0" w:color="auto"/>
              <w:left w:val="single" w:sz="4" w:space="0" w:color="auto"/>
              <w:bottom w:val="single" w:sz="4" w:space="0" w:color="auto"/>
              <w:right w:val="single" w:sz="4" w:space="0" w:color="auto"/>
            </w:tcBorders>
            <w:shd w:val="clear" w:color="auto" w:fill="CCEEFF"/>
            <w:vAlign w:val="bottom"/>
            <w:hideMark/>
          </w:tcPr>
          <w:p w:rsidR="00435B0B" w:rsidRPr="00435B0B" w:rsidRDefault="00435B0B" w:rsidP="00435B0B">
            <w:pPr>
              <w:rPr>
                <w:rFonts w:ascii="Times" w:eastAsia="Times New Roman" w:hAnsi="Times" w:cs="Times"/>
              </w:rPr>
            </w:pPr>
            <w:r w:rsidRPr="00435B0B">
              <w:rPr>
                <w:rFonts w:ascii="Times" w:eastAsia="Times New Roman" w:hAnsi="Times" w:cs="Times"/>
              </w:rPr>
              <w:t> </w:t>
            </w:r>
          </w:p>
        </w:tc>
        <w:tc>
          <w:tcPr>
            <w:tcW w:w="108" w:type="dxa"/>
            <w:tcBorders>
              <w:top w:val="single" w:sz="4" w:space="0" w:color="auto"/>
              <w:left w:val="single" w:sz="4" w:space="0" w:color="auto"/>
              <w:bottom w:val="single" w:sz="4" w:space="0" w:color="auto"/>
              <w:right w:val="single" w:sz="4" w:space="0" w:color="auto"/>
            </w:tcBorders>
            <w:shd w:val="clear" w:color="auto" w:fill="CCEEFF"/>
            <w:vAlign w:val="bottom"/>
            <w:hideMark/>
          </w:tcPr>
          <w:p w:rsidR="00435B0B" w:rsidRPr="00435B0B" w:rsidRDefault="00435B0B" w:rsidP="00435B0B">
            <w:pPr>
              <w:rPr>
                <w:rFonts w:ascii="Times" w:eastAsia="Times New Roman" w:hAnsi="Times" w:cs="Times"/>
              </w:rPr>
            </w:pPr>
            <w:r w:rsidRPr="00435B0B">
              <w:rPr>
                <w:rFonts w:ascii="Times" w:eastAsia="Times New Roman" w:hAnsi="Times" w:cs="Times"/>
              </w:rPr>
              <w:t> </w:t>
            </w:r>
          </w:p>
        </w:tc>
        <w:tc>
          <w:tcPr>
            <w:tcW w:w="735" w:type="dxa"/>
            <w:tcBorders>
              <w:top w:val="single" w:sz="4" w:space="0" w:color="auto"/>
              <w:left w:val="single" w:sz="4" w:space="0" w:color="auto"/>
              <w:bottom w:val="single" w:sz="4" w:space="0" w:color="auto"/>
              <w:right w:val="single" w:sz="4" w:space="0" w:color="auto"/>
            </w:tcBorders>
            <w:shd w:val="clear" w:color="auto" w:fill="CCEEFF"/>
            <w:vAlign w:val="bottom"/>
            <w:hideMark/>
          </w:tcPr>
          <w:p w:rsidR="00435B0B" w:rsidRPr="00435B0B" w:rsidRDefault="00435B0B" w:rsidP="00435B0B">
            <w:pPr>
              <w:jc w:val="right"/>
              <w:rPr>
                <w:rFonts w:ascii="Times" w:eastAsia="Times New Roman" w:hAnsi="Times" w:cs="Times"/>
              </w:rPr>
            </w:pPr>
            <w:r w:rsidRPr="00435B0B">
              <w:rPr>
                <w:rFonts w:ascii="Times" w:eastAsia="Times New Roman" w:hAnsi="Times" w:cs="Times"/>
              </w:rPr>
              <w:t>44,507</w:t>
            </w:r>
          </w:p>
        </w:tc>
        <w:tc>
          <w:tcPr>
            <w:tcW w:w="178" w:type="dxa"/>
            <w:tcBorders>
              <w:top w:val="single" w:sz="4" w:space="0" w:color="auto"/>
              <w:left w:val="single" w:sz="4" w:space="0" w:color="auto"/>
              <w:bottom w:val="single" w:sz="4" w:space="0" w:color="auto"/>
              <w:right w:val="single" w:sz="4" w:space="0" w:color="auto"/>
            </w:tcBorders>
            <w:shd w:val="clear" w:color="auto" w:fill="CCEEFF"/>
            <w:vAlign w:val="bottom"/>
            <w:hideMark/>
          </w:tcPr>
          <w:p w:rsidR="00435B0B" w:rsidRPr="00435B0B" w:rsidRDefault="00435B0B" w:rsidP="00435B0B">
            <w:pPr>
              <w:rPr>
                <w:rFonts w:ascii="Times" w:eastAsia="Times New Roman" w:hAnsi="Times" w:cs="Times"/>
              </w:rPr>
            </w:pPr>
            <w:r w:rsidRPr="00435B0B">
              <w:rPr>
                <w:rFonts w:ascii="Times" w:eastAsia="Times New Roman" w:hAnsi="Times" w:cs="Times"/>
              </w:rPr>
              <w:t> </w:t>
            </w:r>
          </w:p>
        </w:tc>
        <w:tc>
          <w:tcPr>
            <w:tcW w:w="121" w:type="dxa"/>
            <w:tcBorders>
              <w:top w:val="single" w:sz="4" w:space="0" w:color="auto"/>
              <w:left w:val="single" w:sz="4" w:space="0" w:color="auto"/>
              <w:bottom w:val="single" w:sz="4" w:space="0" w:color="auto"/>
              <w:right w:val="single" w:sz="4" w:space="0" w:color="auto"/>
            </w:tcBorders>
            <w:shd w:val="clear" w:color="auto" w:fill="CCEEFF"/>
            <w:vAlign w:val="bottom"/>
            <w:hideMark/>
          </w:tcPr>
          <w:p w:rsidR="00435B0B" w:rsidRPr="00435B0B" w:rsidRDefault="00435B0B" w:rsidP="00435B0B">
            <w:pPr>
              <w:rPr>
                <w:rFonts w:ascii="Times" w:eastAsia="Times New Roman" w:hAnsi="Times" w:cs="Times"/>
              </w:rPr>
            </w:pPr>
            <w:r w:rsidRPr="00435B0B">
              <w:rPr>
                <w:rFonts w:ascii="Times" w:eastAsia="Times New Roman" w:hAnsi="Times" w:cs="Times"/>
              </w:rPr>
              <w:t> </w:t>
            </w:r>
          </w:p>
        </w:tc>
        <w:tc>
          <w:tcPr>
            <w:tcW w:w="920" w:type="dxa"/>
            <w:tcBorders>
              <w:top w:val="single" w:sz="4" w:space="0" w:color="auto"/>
              <w:left w:val="single" w:sz="4" w:space="0" w:color="auto"/>
              <w:bottom w:val="single" w:sz="4" w:space="0" w:color="auto"/>
              <w:right w:val="single" w:sz="4" w:space="0" w:color="auto"/>
            </w:tcBorders>
            <w:shd w:val="clear" w:color="auto" w:fill="CCEEFF"/>
            <w:vAlign w:val="bottom"/>
            <w:hideMark/>
          </w:tcPr>
          <w:p w:rsidR="00435B0B" w:rsidRPr="00435B0B" w:rsidRDefault="00435B0B" w:rsidP="00435B0B">
            <w:pPr>
              <w:jc w:val="right"/>
              <w:rPr>
                <w:rFonts w:ascii="Times" w:eastAsia="Times New Roman" w:hAnsi="Times" w:cs="Times"/>
              </w:rPr>
            </w:pPr>
            <w:r w:rsidRPr="00435B0B">
              <w:rPr>
                <w:rFonts w:ascii="Times" w:eastAsia="Times New Roman" w:hAnsi="Times" w:cs="Times"/>
              </w:rPr>
              <w:t>44,507</w:t>
            </w:r>
          </w:p>
        </w:tc>
        <w:tc>
          <w:tcPr>
            <w:tcW w:w="178" w:type="dxa"/>
            <w:tcBorders>
              <w:top w:val="single" w:sz="4" w:space="0" w:color="auto"/>
              <w:left w:val="single" w:sz="4" w:space="0" w:color="auto"/>
              <w:bottom w:val="single" w:sz="4" w:space="0" w:color="auto"/>
              <w:right w:val="single" w:sz="4" w:space="0" w:color="auto"/>
            </w:tcBorders>
            <w:shd w:val="clear" w:color="auto" w:fill="CCEEFF"/>
            <w:vAlign w:val="bottom"/>
            <w:hideMark/>
          </w:tcPr>
          <w:p w:rsidR="00435B0B" w:rsidRPr="00435B0B" w:rsidRDefault="00435B0B" w:rsidP="00435B0B">
            <w:pPr>
              <w:rPr>
                <w:rFonts w:ascii="Times" w:eastAsia="Times New Roman" w:hAnsi="Times" w:cs="Times"/>
                <w:sz w:val="24"/>
                <w:szCs w:val="24"/>
              </w:rPr>
            </w:pPr>
            <w:r w:rsidRPr="00435B0B">
              <w:rPr>
                <w:rFonts w:ascii="Times" w:eastAsia="Times New Roman" w:hAnsi="Times" w:cs="Times"/>
                <w:sz w:val="15"/>
                <w:szCs w:val="15"/>
              </w:rPr>
              <w:t> </w:t>
            </w:r>
          </w:p>
        </w:tc>
      </w:tr>
      <w:tr w:rsidR="00435B0B" w:rsidRPr="00435B0B" w:rsidTr="00435B0B">
        <w:trPr>
          <w:tblCellSpacing w:w="0" w:type="dxa"/>
          <w:jc w:val="center"/>
        </w:trPr>
        <w:tc>
          <w:tcPr>
            <w:tcW w:w="58"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35B0B" w:rsidRPr="00435B0B" w:rsidRDefault="00435B0B" w:rsidP="00435B0B">
            <w:pPr>
              <w:rPr>
                <w:rFonts w:ascii="Times" w:eastAsia="Times New Roman" w:hAnsi="Times" w:cs="Times"/>
              </w:rPr>
            </w:pPr>
            <w:r w:rsidRPr="00435B0B">
              <w:rPr>
                <w:rFonts w:ascii="Times" w:eastAsia="Times New Roman" w:hAnsi="Times" w:cs="Times"/>
              </w:rPr>
              <w:t> </w:t>
            </w:r>
          </w:p>
        </w:tc>
        <w:tc>
          <w:tcPr>
            <w:tcW w:w="488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35B0B" w:rsidRPr="00435B0B" w:rsidRDefault="00435B0B" w:rsidP="00435B0B">
            <w:pPr>
              <w:spacing w:before="100" w:beforeAutospacing="1" w:after="100" w:afterAutospacing="1"/>
              <w:ind w:left="160" w:hanging="160"/>
              <w:rPr>
                <w:rFonts w:ascii="Times" w:eastAsia="Times New Roman" w:hAnsi="Times" w:cs="Times"/>
              </w:rPr>
            </w:pPr>
            <w:r w:rsidRPr="00435B0B">
              <w:rPr>
                <w:rFonts w:ascii="Times" w:eastAsia="Times New Roman" w:hAnsi="Times" w:cs="Times"/>
              </w:rPr>
              <w:t>Redeemable preferred stock</w:t>
            </w:r>
          </w:p>
        </w:tc>
        <w:tc>
          <w:tcPr>
            <w:tcW w:w="7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35B0B" w:rsidRPr="00435B0B" w:rsidRDefault="00435B0B" w:rsidP="00435B0B">
            <w:pPr>
              <w:rPr>
                <w:rFonts w:ascii="Times" w:eastAsia="Times New Roman" w:hAnsi="Times" w:cs="Times"/>
              </w:rPr>
            </w:pPr>
            <w:r w:rsidRPr="00435B0B">
              <w:rPr>
                <w:rFonts w:ascii="Times" w:eastAsia="Times New Roman" w:hAnsi="Times" w:cs="Times"/>
              </w:rPr>
              <w:t> </w:t>
            </w:r>
          </w:p>
        </w:tc>
        <w:tc>
          <w:tcPr>
            <w:tcW w:w="9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35B0B" w:rsidRPr="00435B0B" w:rsidRDefault="00435B0B" w:rsidP="00435B0B">
            <w:pPr>
              <w:rPr>
                <w:rFonts w:ascii="Times" w:eastAsia="Times New Roman" w:hAnsi="Times" w:cs="Times"/>
              </w:rPr>
            </w:pPr>
            <w:r w:rsidRPr="00435B0B">
              <w:rPr>
                <w:rFonts w:ascii="Times" w:eastAsia="Times New Roman" w:hAnsi="Times" w:cs="Times"/>
              </w:rPr>
              <w:t> </w:t>
            </w:r>
          </w:p>
        </w:tc>
        <w:tc>
          <w:tcPr>
            <w:tcW w:w="688"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435B0B" w:rsidRPr="00435B0B" w:rsidRDefault="00435B0B" w:rsidP="00435B0B">
            <w:pPr>
              <w:jc w:val="right"/>
              <w:rPr>
                <w:rFonts w:ascii="Times" w:eastAsia="Times New Roman" w:hAnsi="Times" w:cs="Times"/>
              </w:rPr>
            </w:pPr>
            <w:r w:rsidRPr="00435B0B">
              <w:rPr>
                <w:rFonts w:ascii="Times" w:eastAsia="Times New Roman" w:hAnsi="Times" w:cs="Times"/>
              </w:rPr>
              <w:t>—</w:t>
            </w:r>
          </w:p>
        </w:tc>
        <w:tc>
          <w:tcPr>
            <w:tcW w:w="178"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35B0B" w:rsidRPr="00435B0B" w:rsidRDefault="00435B0B" w:rsidP="00435B0B">
            <w:pPr>
              <w:rPr>
                <w:rFonts w:ascii="Times" w:eastAsia="Times New Roman" w:hAnsi="Times" w:cs="Times"/>
              </w:rPr>
            </w:pPr>
            <w:r w:rsidRPr="00435B0B">
              <w:rPr>
                <w:rFonts w:ascii="Times" w:eastAsia="Times New Roman" w:hAnsi="Times" w:cs="Times"/>
              </w:rPr>
              <w:t> </w:t>
            </w:r>
          </w:p>
        </w:tc>
        <w:tc>
          <w:tcPr>
            <w:tcW w:w="108"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35B0B" w:rsidRPr="00435B0B" w:rsidRDefault="00435B0B" w:rsidP="00435B0B">
            <w:pPr>
              <w:rPr>
                <w:rFonts w:ascii="Times" w:eastAsia="Times New Roman" w:hAnsi="Times" w:cs="Times"/>
              </w:rPr>
            </w:pPr>
            <w:r w:rsidRPr="00435B0B">
              <w:rPr>
                <w:rFonts w:ascii="Times" w:eastAsia="Times New Roman" w:hAnsi="Times" w:cs="Times"/>
              </w:rPr>
              <w:t> </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35B0B" w:rsidRPr="00435B0B" w:rsidRDefault="00435B0B" w:rsidP="00435B0B">
            <w:pPr>
              <w:jc w:val="right"/>
              <w:rPr>
                <w:rFonts w:ascii="Times" w:eastAsia="Times New Roman" w:hAnsi="Times" w:cs="Times"/>
              </w:rPr>
            </w:pPr>
            <w:r w:rsidRPr="00435B0B">
              <w:rPr>
                <w:rFonts w:ascii="Times" w:eastAsia="Times New Roman" w:hAnsi="Times" w:cs="Times"/>
              </w:rPr>
              <w:t>—</w:t>
            </w:r>
          </w:p>
        </w:tc>
        <w:tc>
          <w:tcPr>
            <w:tcW w:w="178"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35B0B" w:rsidRPr="00435B0B" w:rsidRDefault="00435B0B" w:rsidP="00435B0B">
            <w:pPr>
              <w:rPr>
                <w:rFonts w:ascii="Times" w:eastAsia="Times New Roman" w:hAnsi="Times" w:cs="Times"/>
              </w:rPr>
            </w:pPr>
            <w:r w:rsidRPr="00435B0B">
              <w:rPr>
                <w:rFonts w:ascii="Times" w:eastAsia="Times New Roman" w:hAnsi="Times" w:cs="Times"/>
              </w:rPr>
              <w:t> </w:t>
            </w:r>
          </w:p>
        </w:tc>
        <w:tc>
          <w:tcPr>
            <w:tcW w:w="12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35B0B" w:rsidRPr="00435B0B" w:rsidRDefault="00435B0B" w:rsidP="00435B0B">
            <w:pPr>
              <w:rPr>
                <w:rFonts w:ascii="Times" w:eastAsia="Times New Roman" w:hAnsi="Times" w:cs="Times"/>
              </w:rPr>
            </w:pPr>
            <w:r w:rsidRPr="00435B0B">
              <w:rPr>
                <w:rFonts w:ascii="Times" w:eastAsia="Times New Roman" w:hAnsi="Times" w:cs="Times"/>
              </w:rPr>
              <w:t> </w:t>
            </w:r>
          </w:p>
        </w:tc>
        <w:tc>
          <w:tcPr>
            <w:tcW w:w="92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35B0B" w:rsidRPr="00435B0B" w:rsidRDefault="00435B0B" w:rsidP="00435B0B">
            <w:pPr>
              <w:jc w:val="right"/>
              <w:rPr>
                <w:rFonts w:ascii="Times" w:eastAsia="Times New Roman" w:hAnsi="Times" w:cs="Times"/>
              </w:rPr>
            </w:pPr>
            <w:r w:rsidRPr="00435B0B">
              <w:rPr>
                <w:rFonts w:ascii="Times" w:eastAsia="Times New Roman" w:hAnsi="Times" w:cs="Times"/>
              </w:rPr>
              <w:t>—</w:t>
            </w:r>
          </w:p>
        </w:tc>
        <w:tc>
          <w:tcPr>
            <w:tcW w:w="178"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35B0B" w:rsidRPr="00435B0B" w:rsidRDefault="00435B0B" w:rsidP="00435B0B">
            <w:pPr>
              <w:rPr>
                <w:rFonts w:ascii="Times" w:eastAsia="Times New Roman" w:hAnsi="Times" w:cs="Times"/>
                <w:sz w:val="24"/>
                <w:szCs w:val="24"/>
              </w:rPr>
            </w:pPr>
            <w:r w:rsidRPr="00435B0B">
              <w:rPr>
                <w:rFonts w:ascii="Times" w:eastAsia="Times New Roman" w:hAnsi="Times" w:cs="Times"/>
                <w:sz w:val="15"/>
                <w:szCs w:val="15"/>
              </w:rPr>
              <w:t> </w:t>
            </w:r>
          </w:p>
        </w:tc>
      </w:tr>
      <w:tr w:rsidR="00435B0B" w:rsidRPr="00435B0B" w:rsidTr="00435B0B">
        <w:trPr>
          <w:tblCellSpacing w:w="0" w:type="dxa"/>
          <w:jc w:val="center"/>
        </w:trPr>
        <w:tc>
          <w:tcPr>
            <w:tcW w:w="58" w:type="dxa"/>
            <w:tcBorders>
              <w:top w:val="single" w:sz="4" w:space="0" w:color="auto"/>
              <w:left w:val="single" w:sz="4" w:space="0" w:color="auto"/>
              <w:bottom w:val="single" w:sz="4" w:space="0" w:color="auto"/>
              <w:right w:val="single" w:sz="4" w:space="0" w:color="auto"/>
            </w:tcBorders>
            <w:shd w:val="clear" w:color="auto" w:fill="CCEEFF"/>
            <w:vAlign w:val="bottom"/>
            <w:hideMark/>
          </w:tcPr>
          <w:p w:rsidR="00435B0B" w:rsidRPr="00435B0B" w:rsidRDefault="00435B0B" w:rsidP="00435B0B">
            <w:pPr>
              <w:rPr>
                <w:rFonts w:ascii="Times" w:eastAsia="Times New Roman" w:hAnsi="Times" w:cs="Times"/>
              </w:rPr>
            </w:pPr>
            <w:r w:rsidRPr="00435B0B">
              <w:rPr>
                <w:rFonts w:ascii="Times" w:eastAsia="Times New Roman" w:hAnsi="Times" w:cs="Times"/>
              </w:rPr>
              <w:t> </w:t>
            </w:r>
          </w:p>
        </w:tc>
        <w:tc>
          <w:tcPr>
            <w:tcW w:w="4882" w:type="dxa"/>
            <w:tcBorders>
              <w:top w:val="single" w:sz="4" w:space="0" w:color="auto"/>
              <w:left w:val="single" w:sz="4" w:space="0" w:color="auto"/>
              <w:bottom w:val="single" w:sz="4" w:space="0" w:color="auto"/>
              <w:right w:val="single" w:sz="4" w:space="0" w:color="auto"/>
            </w:tcBorders>
            <w:shd w:val="clear" w:color="auto" w:fill="CCEEFF"/>
            <w:vAlign w:val="bottom"/>
            <w:hideMark/>
          </w:tcPr>
          <w:p w:rsidR="00435B0B" w:rsidRPr="00435B0B" w:rsidRDefault="00435B0B" w:rsidP="00435B0B">
            <w:pPr>
              <w:spacing w:before="100" w:beforeAutospacing="1" w:after="100" w:afterAutospacing="1"/>
              <w:ind w:left="160" w:hanging="160"/>
              <w:rPr>
                <w:rFonts w:ascii="Times" w:eastAsia="Times New Roman" w:hAnsi="Times" w:cs="Times"/>
              </w:rPr>
            </w:pPr>
            <w:r w:rsidRPr="00435B0B">
              <w:rPr>
                <w:rFonts w:ascii="Times" w:eastAsia="Times New Roman" w:hAnsi="Times" w:cs="Times"/>
              </w:rPr>
              <w:t>Cash dividends per common share</w:t>
            </w:r>
          </w:p>
        </w:tc>
        <w:tc>
          <w:tcPr>
            <w:tcW w:w="79" w:type="dxa"/>
            <w:tcBorders>
              <w:top w:val="single" w:sz="4" w:space="0" w:color="auto"/>
              <w:left w:val="single" w:sz="4" w:space="0" w:color="auto"/>
              <w:bottom w:val="single" w:sz="4" w:space="0" w:color="auto"/>
              <w:right w:val="single" w:sz="4" w:space="0" w:color="auto"/>
            </w:tcBorders>
            <w:shd w:val="clear" w:color="auto" w:fill="CCEEFF"/>
            <w:vAlign w:val="bottom"/>
            <w:hideMark/>
          </w:tcPr>
          <w:p w:rsidR="00435B0B" w:rsidRPr="00435B0B" w:rsidRDefault="00435B0B" w:rsidP="00435B0B">
            <w:pPr>
              <w:rPr>
                <w:rFonts w:ascii="Times" w:eastAsia="Times New Roman" w:hAnsi="Times" w:cs="Times"/>
              </w:rPr>
            </w:pPr>
            <w:r w:rsidRPr="00435B0B">
              <w:rPr>
                <w:rFonts w:ascii="Times" w:eastAsia="Times New Roman" w:hAnsi="Times" w:cs="Times"/>
              </w:rPr>
              <w:t> </w:t>
            </w:r>
          </w:p>
        </w:tc>
        <w:tc>
          <w:tcPr>
            <w:tcW w:w="95" w:type="dxa"/>
            <w:tcBorders>
              <w:top w:val="single" w:sz="4" w:space="0" w:color="auto"/>
              <w:left w:val="single" w:sz="4" w:space="0" w:color="auto"/>
              <w:bottom w:val="single" w:sz="4" w:space="0" w:color="auto"/>
              <w:right w:val="single" w:sz="4" w:space="0" w:color="auto"/>
            </w:tcBorders>
            <w:shd w:val="clear" w:color="auto" w:fill="CCEEFF"/>
            <w:vAlign w:val="bottom"/>
            <w:hideMark/>
          </w:tcPr>
          <w:p w:rsidR="00435B0B" w:rsidRPr="00435B0B" w:rsidRDefault="00435B0B" w:rsidP="00435B0B">
            <w:pPr>
              <w:rPr>
                <w:rFonts w:ascii="Times" w:eastAsia="Times New Roman" w:hAnsi="Times" w:cs="Times"/>
              </w:rPr>
            </w:pPr>
            <w:r w:rsidRPr="00435B0B">
              <w:rPr>
                <w:rFonts w:ascii="Times" w:eastAsia="Times New Roman" w:hAnsi="Times" w:cs="Times"/>
              </w:rPr>
              <w:t> </w:t>
            </w:r>
          </w:p>
        </w:tc>
        <w:tc>
          <w:tcPr>
            <w:tcW w:w="688" w:type="dxa"/>
            <w:gridSpan w:val="2"/>
            <w:tcBorders>
              <w:top w:val="single" w:sz="4" w:space="0" w:color="auto"/>
              <w:left w:val="single" w:sz="4" w:space="0" w:color="auto"/>
              <w:bottom w:val="single" w:sz="4" w:space="0" w:color="auto"/>
              <w:right w:val="single" w:sz="4" w:space="0" w:color="auto"/>
            </w:tcBorders>
            <w:shd w:val="clear" w:color="auto" w:fill="CCEEFF"/>
            <w:vAlign w:val="bottom"/>
            <w:hideMark/>
          </w:tcPr>
          <w:p w:rsidR="00435B0B" w:rsidRPr="00435B0B" w:rsidRDefault="00435B0B" w:rsidP="00435B0B">
            <w:pPr>
              <w:jc w:val="right"/>
              <w:rPr>
                <w:rFonts w:ascii="Times" w:eastAsia="Times New Roman" w:hAnsi="Times" w:cs="Times"/>
              </w:rPr>
            </w:pPr>
            <w:r w:rsidRPr="00435B0B">
              <w:rPr>
                <w:rFonts w:ascii="Times" w:eastAsia="Times New Roman" w:hAnsi="Times" w:cs="Times"/>
              </w:rPr>
              <w:t>—</w:t>
            </w:r>
          </w:p>
        </w:tc>
        <w:tc>
          <w:tcPr>
            <w:tcW w:w="178" w:type="dxa"/>
            <w:tcBorders>
              <w:top w:val="single" w:sz="4" w:space="0" w:color="auto"/>
              <w:left w:val="single" w:sz="4" w:space="0" w:color="auto"/>
              <w:bottom w:val="single" w:sz="4" w:space="0" w:color="auto"/>
              <w:right w:val="single" w:sz="4" w:space="0" w:color="auto"/>
            </w:tcBorders>
            <w:shd w:val="clear" w:color="auto" w:fill="CCEEFF"/>
            <w:vAlign w:val="bottom"/>
            <w:hideMark/>
          </w:tcPr>
          <w:p w:rsidR="00435B0B" w:rsidRPr="00435B0B" w:rsidRDefault="00435B0B" w:rsidP="00435B0B">
            <w:pPr>
              <w:rPr>
                <w:rFonts w:ascii="Times" w:eastAsia="Times New Roman" w:hAnsi="Times" w:cs="Times"/>
              </w:rPr>
            </w:pPr>
            <w:r w:rsidRPr="00435B0B">
              <w:rPr>
                <w:rFonts w:ascii="Times" w:eastAsia="Times New Roman" w:hAnsi="Times" w:cs="Times"/>
              </w:rPr>
              <w:t> </w:t>
            </w:r>
          </w:p>
        </w:tc>
        <w:tc>
          <w:tcPr>
            <w:tcW w:w="108" w:type="dxa"/>
            <w:tcBorders>
              <w:top w:val="single" w:sz="4" w:space="0" w:color="auto"/>
              <w:left w:val="single" w:sz="4" w:space="0" w:color="auto"/>
              <w:bottom w:val="single" w:sz="4" w:space="0" w:color="auto"/>
              <w:right w:val="single" w:sz="4" w:space="0" w:color="auto"/>
            </w:tcBorders>
            <w:shd w:val="clear" w:color="auto" w:fill="CCEEFF"/>
            <w:vAlign w:val="bottom"/>
            <w:hideMark/>
          </w:tcPr>
          <w:p w:rsidR="00435B0B" w:rsidRPr="00435B0B" w:rsidRDefault="00435B0B" w:rsidP="00435B0B">
            <w:pPr>
              <w:rPr>
                <w:rFonts w:ascii="Times" w:eastAsia="Times New Roman" w:hAnsi="Times" w:cs="Times"/>
              </w:rPr>
            </w:pPr>
            <w:r w:rsidRPr="00435B0B">
              <w:rPr>
                <w:rFonts w:ascii="Times" w:eastAsia="Times New Roman" w:hAnsi="Times" w:cs="Times"/>
              </w:rPr>
              <w:t> </w:t>
            </w:r>
          </w:p>
        </w:tc>
        <w:tc>
          <w:tcPr>
            <w:tcW w:w="735" w:type="dxa"/>
            <w:tcBorders>
              <w:top w:val="single" w:sz="4" w:space="0" w:color="auto"/>
              <w:left w:val="single" w:sz="4" w:space="0" w:color="auto"/>
              <w:bottom w:val="single" w:sz="4" w:space="0" w:color="auto"/>
              <w:right w:val="single" w:sz="4" w:space="0" w:color="auto"/>
            </w:tcBorders>
            <w:shd w:val="clear" w:color="auto" w:fill="CCEEFF"/>
            <w:vAlign w:val="bottom"/>
            <w:hideMark/>
          </w:tcPr>
          <w:p w:rsidR="00435B0B" w:rsidRPr="00435B0B" w:rsidRDefault="00435B0B" w:rsidP="00435B0B">
            <w:pPr>
              <w:jc w:val="right"/>
              <w:rPr>
                <w:rFonts w:ascii="Times" w:eastAsia="Times New Roman" w:hAnsi="Times" w:cs="Times"/>
              </w:rPr>
            </w:pPr>
            <w:r w:rsidRPr="00435B0B">
              <w:rPr>
                <w:rFonts w:ascii="Times" w:eastAsia="Times New Roman" w:hAnsi="Times" w:cs="Times"/>
              </w:rPr>
              <w:t>—</w:t>
            </w:r>
          </w:p>
        </w:tc>
        <w:tc>
          <w:tcPr>
            <w:tcW w:w="178" w:type="dxa"/>
            <w:tcBorders>
              <w:top w:val="single" w:sz="4" w:space="0" w:color="auto"/>
              <w:left w:val="single" w:sz="4" w:space="0" w:color="auto"/>
              <w:bottom w:val="single" w:sz="4" w:space="0" w:color="auto"/>
              <w:right w:val="single" w:sz="4" w:space="0" w:color="auto"/>
            </w:tcBorders>
            <w:shd w:val="clear" w:color="auto" w:fill="CCEEFF"/>
            <w:vAlign w:val="bottom"/>
            <w:hideMark/>
          </w:tcPr>
          <w:p w:rsidR="00435B0B" w:rsidRPr="00435B0B" w:rsidRDefault="00435B0B" w:rsidP="00435B0B">
            <w:pPr>
              <w:rPr>
                <w:rFonts w:ascii="Times" w:eastAsia="Times New Roman" w:hAnsi="Times" w:cs="Times"/>
              </w:rPr>
            </w:pPr>
            <w:r w:rsidRPr="00435B0B">
              <w:rPr>
                <w:rFonts w:ascii="Times" w:eastAsia="Times New Roman" w:hAnsi="Times" w:cs="Times"/>
              </w:rPr>
              <w:t> </w:t>
            </w:r>
          </w:p>
        </w:tc>
        <w:tc>
          <w:tcPr>
            <w:tcW w:w="121" w:type="dxa"/>
            <w:tcBorders>
              <w:top w:val="single" w:sz="4" w:space="0" w:color="auto"/>
              <w:left w:val="single" w:sz="4" w:space="0" w:color="auto"/>
              <w:bottom w:val="single" w:sz="4" w:space="0" w:color="auto"/>
              <w:right w:val="single" w:sz="4" w:space="0" w:color="auto"/>
            </w:tcBorders>
            <w:shd w:val="clear" w:color="auto" w:fill="CCEEFF"/>
            <w:vAlign w:val="bottom"/>
            <w:hideMark/>
          </w:tcPr>
          <w:p w:rsidR="00435B0B" w:rsidRPr="00435B0B" w:rsidRDefault="00435B0B" w:rsidP="00435B0B">
            <w:pPr>
              <w:rPr>
                <w:rFonts w:ascii="Times" w:eastAsia="Times New Roman" w:hAnsi="Times" w:cs="Times"/>
              </w:rPr>
            </w:pPr>
            <w:r w:rsidRPr="00435B0B">
              <w:rPr>
                <w:rFonts w:ascii="Times" w:eastAsia="Times New Roman" w:hAnsi="Times" w:cs="Times"/>
              </w:rPr>
              <w:t> </w:t>
            </w:r>
          </w:p>
        </w:tc>
        <w:tc>
          <w:tcPr>
            <w:tcW w:w="920" w:type="dxa"/>
            <w:tcBorders>
              <w:top w:val="single" w:sz="4" w:space="0" w:color="auto"/>
              <w:left w:val="single" w:sz="4" w:space="0" w:color="auto"/>
              <w:bottom w:val="single" w:sz="4" w:space="0" w:color="auto"/>
              <w:right w:val="single" w:sz="4" w:space="0" w:color="auto"/>
            </w:tcBorders>
            <w:shd w:val="clear" w:color="auto" w:fill="CCEEFF"/>
            <w:vAlign w:val="bottom"/>
            <w:hideMark/>
          </w:tcPr>
          <w:p w:rsidR="00435B0B" w:rsidRPr="00435B0B" w:rsidRDefault="00435B0B" w:rsidP="00435B0B">
            <w:pPr>
              <w:jc w:val="right"/>
              <w:rPr>
                <w:rFonts w:ascii="Times" w:eastAsia="Times New Roman" w:hAnsi="Times" w:cs="Times"/>
              </w:rPr>
            </w:pPr>
            <w:r w:rsidRPr="00435B0B">
              <w:rPr>
                <w:rFonts w:ascii="Times" w:eastAsia="Times New Roman" w:hAnsi="Times" w:cs="Times"/>
              </w:rPr>
              <w:t>—</w:t>
            </w:r>
          </w:p>
        </w:tc>
        <w:tc>
          <w:tcPr>
            <w:tcW w:w="178" w:type="dxa"/>
            <w:tcBorders>
              <w:top w:val="single" w:sz="4" w:space="0" w:color="auto"/>
              <w:left w:val="single" w:sz="4" w:space="0" w:color="auto"/>
              <w:bottom w:val="single" w:sz="4" w:space="0" w:color="auto"/>
              <w:right w:val="single" w:sz="4" w:space="0" w:color="auto"/>
            </w:tcBorders>
            <w:shd w:val="clear" w:color="auto" w:fill="CCEEFF"/>
            <w:vAlign w:val="bottom"/>
            <w:hideMark/>
          </w:tcPr>
          <w:p w:rsidR="00435B0B" w:rsidRPr="00435B0B" w:rsidRDefault="00435B0B" w:rsidP="00435B0B">
            <w:pPr>
              <w:rPr>
                <w:rFonts w:ascii="Times" w:eastAsia="Times New Roman" w:hAnsi="Times" w:cs="Times"/>
                <w:sz w:val="24"/>
                <w:szCs w:val="24"/>
              </w:rPr>
            </w:pPr>
            <w:r w:rsidRPr="00435B0B">
              <w:rPr>
                <w:rFonts w:ascii="Times" w:eastAsia="Times New Roman" w:hAnsi="Times" w:cs="Times"/>
                <w:sz w:val="15"/>
                <w:szCs w:val="15"/>
              </w:rPr>
              <w:t> </w:t>
            </w:r>
          </w:p>
        </w:tc>
      </w:tr>
      <w:tr w:rsidR="00435B0B" w:rsidRPr="00435B0B" w:rsidTr="00435B0B">
        <w:trPr>
          <w:tblCellSpacing w:w="0" w:type="dxa"/>
          <w:jc w:val="center"/>
        </w:trPr>
        <w:tc>
          <w:tcPr>
            <w:tcW w:w="58"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35B0B" w:rsidRPr="00435B0B" w:rsidRDefault="00435B0B" w:rsidP="00435B0B">
            <w:pPr>
              <w:rPr>
                <w:rFonts w:ascii="Times" w:eastAsia="Times New Roman" w:hAnsi="Times" w:cs="Times"/>
              </w:rPr>
            </w:pPr>
            <w:r w:rsidRPr="00435B0B">
              <w:rPr>
                <w:rFonts w:ascii="Times" w:eastAsia="Times New Roman" w:hAnsi="Times" w:cs="Times"/>
              </w:rPr>
              <w:t> </w:t>
            </w:r>
          </w:p>
        </w:tc>
        <w:tc>
          <w:tcPr>
            <w:tcW w:w="488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35B0B" w:rsidRPr="00435B0B" w:rsidRDefault="00435B0B" w:rsidP="00435B0B">
            <w:pPr>
              <w:spacing w:before="100" w:beforeAutospacing="1" w:after="100" w:afterAutospacing="1"/>
              <w:ind w:left="160" w:hanging="160"/>
              <w:rPr>
                <w:rFonts w:ascii="Times" w:eastAsia="Times New Roman" w:hAnsi="Times" w:cs="Times"/>
              </w:rPr>
            </w:pPr>
            <w:r w:rsidRPr="00435B0B">
              <w:rPr>
                <w:rFonts w:ascii="Times" w:eastAsia="Times New Roman" w:hAnsi="Times" w:cs="Times"/>
              </w:rPr>
              <w:t>Total Groupon, Inc. stockholders' (deficit) equity</w:t>
            </w:r>
          </w:p>
        </w:tc>
        <w:tc>
          <w:tcPr>
            <w:tcW w:w="7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35B0B" w:rsidRPr="00435B0B" w:rsidRDefault="00435B0B" w:rsidP="00435B0B">
            <w:pPr>
              <w:rPr>
                <w:rFonts w:ascii="Times" w:eastAsia="Times New Roman" w:hAnsi="Times" w:cs="Times"/>
              </w:rPr>
            </w:pPr>
            <w:r w:rsidRPr="00435B0B">
              <w:rPr>
                <w:rFonts w:ascii="Times" w:eastAsia="Times New Roman" w:hAnsi="Times" w:cs="Times"/>
              </w:rPr>
              <w:t> </w:t>
            </w:r>
          </w:p>
        </w:tc>
        <w:tc>
          <w:tcPr>
            <w:tcW w:w="9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35B0B" w:rsidRPr="00435B0B" w:rsidRDefault="00435B0B" w:rsidP="00435B0B">
            <w:pPr>
              <w:rPr>
                <w:rFonts w:ascii="Times" w:eastAsia="Times New Roman" w:hAnsi="Times" w:cs="Times"/>
              </w:rPr>
            </w:pPr>
            <w:r w:rsidRPr="00435B0B">
              <w:rPr>
                <w:rFonts w:ascii="Times" w:eastAsia="Times New Roman" w:hAnsi="Times" w:cs="Times"/>
              </w:rPr>
              <w:t> </w:t>
            </w:r>
          </w:p>
        </w:tc>
        <w:tc>
          <w:tcPr>
            <w:tcW w:w="688"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435B0B" w:rsidRPr="00435B0B" w:rsidRDefault="00435B0B" w:rsidP="00435B0B">
            <w:pPr>
              <w:jc w:val="right"/>
              <w:rPr>
                <w:rFonts w:ascii="Times" w:eastAsia="Times New Roman" w:hAnsi="Times" w:cs="Times"/>
              </w:rPr>
            </w:pPr>
            <w:r w:rsidRPr="00435B0B">
              <w:rPr>
                <w:rFonts w:ascii="Times" w:eastAsia="Times New Roman" w:hAnsi="Times" w:cs="Times"/>
              </w:rPr>
              <w:t>(14,696</w:t>
            </w:r>
          </w:p>
        </w:tc>
        <w:tc>
          <w:tcPr>
            <w:tcW w:w="178"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35B0B" w:rsidRPr="00435B0B" w:rsidRDefault="00435B0B" w:rsidP="00435B0B">
            <w:pPr>
              <w:rPr>
                <w:rFonts w:ascii="Times" w:eastAsia="Times New Roman" w:hAnsi="Times" w:cs="Times"/>
              </w:rPr>
            </w:pPr>
            <w:r w:rsidRPr="00435B0B">
              <w:rPr>
                <w:rFonts w:ascii="Times" w:eastAsia="Times New Roman" w:hAnsi="Times" w:cs="Times"/>
              </w:rPr>
              <w:t>)</w:t>
            </w:r>
          </w:p>
        </w:tc>
        <w:tc>
          <w:tcPr>
            <w:tcW w:w="108"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35B0B" w:rsidRPr="00435B0B" w:rsidRDefault="00435B0B" w:rsidP="00435B0B">
            <w:pPr>
              <w:rPr>
                <w:rFonts w:ascii="Times" w:eastAsia="Times New Roman" w:hAnsi="Times" w:cs="Times"/>
              </w:rPr>
            </w:pPr>
            <w:r w:rsidRPr="00435B0B">
              <w:rPr>
                <w:rFonts w:ascii="Times" w:eastAsia="Times New Roman" w:hAnsi="Times" w:cs="Times"/>
              </w:rPr>
              <w:t> </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35B0B" w:rsidRPr="00435B0B" w:rsidRDefault="00435B0B" w:rsidP="00435B0B">
            <w:pPr>
              <w:jc w:val="right"/>
              <w:rPr>
                <w:rFonts w:ascii="Times" w:eastAsia="Times New Roman" w:hAnsi="Times" w:cs="Times"/>
              </w:rPr>
            </w:pPr>
            <w:r w:rsidRPr="00435B0B">
              <w:rPr>
                <w:rFonts w:ascii="Times" w:eastAsia="Times New Roman" w:hAnsi="Times" w:cs="Times"/>
              </w:rPr>
              <w:t>(14,696</w:t>
            </w:r>
          </w:p>
        </w:tc>
        <w:tc>
          <w:tcPr>
            <w:tcW w:w="178"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35B0B" w:rsidRPr="00435B0B" w:rsidRDefault="00435B0B" w:rsidP="00435B0B">
            <w:pPr>
              <w:rPr>
                <w:rFonts w:ascii="Times" w:eastAsia="Times New Roman" w:hAnsi="Times" w:cs="Times"/>
              </w:rPr>
            </w:pPr>
            <w:r w:rsidRPr="00435B0B">
              <w:rPr>
                <w:rFonts w:ascii="Times" w:eastAsia="Times New Roman" w:hAnsi="Times" w:cs="Times"/>
              </w:rPr>
              <w:t>)</w:t>
            </w:r>
          </w:p>
        </w:tc>
        <w:tc>
          <w:tcPr>
            <w:tcW w:w="12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35B0B" w:rsidRPr="00435B0B" w:rsidRDefault="00435B0B" w:rsidP="00435B0B">
            <w:pPr>
              <w:rPr>
                <w:rFonts w:ascii="Times" w:eastAsia="Times New Roman" w:hAnsi="Times" w:cs="Times"/>
              </w:rPr>
            </w:pPr>
            <w:r w:rsidRPr="00435B0B">
              <w:rPr>
                <w:rFonts w:ascii="Times" w:eastAsia="Times New Roman" w:hAnsi="Times" w:cs="Times"/>
              </w:rPr>
              <w:t> </w:t>
            </w:r>
          </w:p>
        </w:tc>
        <w:tc>
          <w:tcPr>
            <w:tcW w:w="92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35B0B" w:rsidRPr="00435B0B" w:rsidRDefault="00435B0B" w:rsidP="00435B0B">
            <w:pPr>
              <w:jc w:val="right"/>
              <w:rPr>
                <w:rFonts w:ascii="Times" w:eastAsia="Times New Roman" w:hAnsi="Times" w:cs="Times"/>
              </w:rPr>
            </w:pPr>
            <w:r w:rsidRPr="00435B0B">
              <w:rPr>
                <w:rFonts w:ascii="Times" w:eastAsia="Times New Roman" w:hAnsi="Times" w:cs="Times"/>
              </w:rPr>
              <w:t>464,104</w:t>
            </w:r>
          </w:p>
        </w:tc>
        <w:tc>
          <w:tcPr>
            <w:tcW w:w="178"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35B0B" w:rsidRPr="00435B0B" w:rsidRDefault="00435B0B" w:rsidP="00435B0B">
            <w:pPr>
              <w:rPr>
                <w:rFonts w:ascii="Times" w:eastAsia="Times New Roman" w:hAnsi="Times" w:cs="Times"/>
                <w:sz w:val="24"/>
                <w:szCs w:val="24"/>
              </w:rPr>
            </w:pPr>
            <w:r w:rsidRPr="00435B0B">
              <w:rPr>
                <w:rFonts w:ascii="Times" w:eastAsia="Times New Roman" w:hAnsi="Times" w:cs="Times"/>
                <w:sz w:val="15"/>
                <w:szCs w:val="15"/>
              </w:rPr>
              <w:t> </w:t>
            </w:r>
          </w:p>
        </w:tc>
      </w:tr>
    </w:tbl>
    <w:p w:rsidR="00435B0B" w:rsidRDefault="00435B0B">
      <w:pPr>
        <w:rPr>
          <w:rFonts w:ascii="Verdana" w:hAnsi="Verdana" w:cs="Arial"/>
          <w:sz w:val="24"/>
          <w:szCs w:val="24"/>
        </w:rPr>
      </w:pPr>
    </w:p>
    <w:p w:rsidR="00435B0B" w:rsidRDefault="00435B0B">
      <w:pPr>
        <w:rPr>
          <w:rFonts w:ascii="Verdana" w:hAnsi="Verdana" w:cs="Arial"/>
          <w:sz w:val="24"/>
          <w:szCs w:val="24"/>
        </w:rPr>
      </w:pPr>
    </w:p>
    <w:p w:rsidR="00435B0B" w:rsidRDefault="00435B0B">
      <w:pPr>
        <w:rPr>
          <w:rFonts w:ascii="Verdana" w:hAnsi="Verdana" w:cs="Arial"/>
          <w:sz w:val="24"/>
          <w:szCs w:val="24"/>
        </w:rPr>
      </w:pPr>
    </w:p>
    <w:p w:rsidR="00435B0B" w:rsidRDefault="00435B0B">
      <w:pPr>
        <w:rPr>
          <w:rFonts w:ascii="Verdana" w:hAnsi="Verdana" w:cs="Arial"/>
          <w:sz w:val="24"/>
          <w:szCs w:val="24"/>
        </w:rPr>
      </w:pPr>
    </w:p>
    <w:p w:rsidR="00093316" w:rsidRPr="00A56122" w:rsidRDefault="00093316">
      <w:pPr>
        <w:rPr>
          <w:rFonts w:ascii="Verdana" w:hAnsi="Verdana" w:cs="Arial"/>
          <w:sz w:val="24"/>
          <w:szCs w:val="24"/>
        </w:rPr>
      </w:pPr>
    </w:p>
    <w:p w:rsidR="0050716A" w:rsidRPr="00093316" w:rsidRDefault="0050716A" w:rsidP="005679C2">
      <w:pPr>
        <w:pBdr>
          <w:bottom w:val="thinThickThinMediumGap" w:sz="18" w:space="0" w:color="auto"/>
        </w:pBdr>
        <w:rPr>
          <w:rFonts w:ascii="Verdana" w:hAnsi="Verdana"/>
          <w:sz w:val="24"/>
          <w:szCs w:val="24"/>
        </w:rPr>
      </w:pPr>
    </w:p>
    <w:p w:rsidR="005679C2" w:rsidRPr="004E1548" w:rsidRDefault="005679C2" w:rsidP="005679C2">
      <w:pPr>
        <w:pStyle w:val="BodyText"/>
        <w:spacing w:line="240" w:lineRule="auto"/>
        <w:rPr>
          <w:rFonts w:ascii="Verdana" w:hAnsi="Verdana"/>
        </w:rPr>
      </w:pPr>
    </w:p>
    <w:p w:rsidR="005679C2" w:rsidRPr="00A56122" w:rsidRDefault="005679C2" w:rsidP="005679C2">
      <w:pPr>
        <w:pStyle w:val="BodyText"/>
        <w:spacing w:line="240" w:lineRule="auto"/>
        <w:rPr>
          <w:rFonts w:ascii="Verdana" w:hAnsi="Verdana"/>
          <w:i/>
        </w:rPr>
      </w:pPr>
      <w:r w:rsidRPr="00A56122">
        <w:rPr>
          <w:rFonts w:ascii="Verdana" w:hAnsi="Verdana"/>
          <w:i/>
        </w:rPr>
        <w:lastRenderedPageBreak/>
        <w:t xml:space="preserve">This essay reflects the opinion of the authors and not necessarily the opinions of The </w:t>
      </w:r>
      <w:smartTag w:uri="urn:schemas-microsoft-com:office:smarttags" w:element="PlaceName">
        <w:r w:rsidRPr="00A56122">
          <w:rPr>
            <w:rFonts w:ascii="Verdana" w:hAnsi="Verdana"/>
            <w:i/>
          </w:rPr>
          <w:t>Pennsylvania</w:t>
        </w:r>
      </w:smartTag>
      <w:r w:rsidRPr="00A56122">
        <w:rPr>
          <w:rFonts w:ascii="Verdana" w:hAnsi="Verdana"/>
          <w:i/>
        </w:rPr>
        <w:t xml:space="preserve"> </w:t>
      </w:r>
      <w:smartTag w:uri="urn:schemas-microsoft-com:office:smarttags" w:element="PlaceType">
        <w:r w:rsidRPr="00A56122">
          <w:rPr>
            <w:rFonts w:ascii="Verdana" w:hAnsi="Verdana"/>
            <w:i/>
          </w:rPr>
          <w:t>State</w:t>
        </w:r>
      </w:smartTag>
      <w:r w:rsidRPr="00A56122">
        <w:rPr>
          <w:rFonts w:ascii="Verdana" w:hAnsi="Verdana"/>
          <w:i/>
        </w:rPr>
        <w:t xml:space="preserve"> University, The American College, or Villanova University.</w:t>
      </w:r>
    </w:p>
    <w:p w:rsidR="005679C2" w:rsidRPr="00A56122" w:rsidRDefault="005679C2" w:rsidP="005679C2">
      <w:pPr>
        <w:pBdr>
          <w:bottom w:val="thinThickThinMediumGap" w:sz="18" w:space="0" w:color="auto"/>
        </w:pBdr>
        <w:rPr>
          <w:rFonts w:ascii="Verdana" w:hAnsi="Verdana"/>
        </w:rPr>
      </w:pPr>
    </w:p>
    <w:p w:rsidR="005679C2" w:rsidRPr="00A56122" w:rsidRDefault="005679C2" w:rsidP="005679C2">
      <w:pPr>
        <w:pStyle w:val="BodyTextIndent"/>
        <w:spacing w:after="0"/>
        <w:ind w:left="0"/>
        <w:rPr>
          <w:rFonts w:ascii="Verdana" w:hAnsi="Verdana"/>
          <w:sz w:val="24"/>
          <w:szCs w:val="24"/>
        </w:rPr>
      </w:pPr>
    </w:p>
    <w:p w:rsidR="005679C2" w:rsidRPr="00A56122" w:rsidRDefault="005679C2" w:rsidP="00383ECD">
      <w:pPr>
        <w:rPr>
          <w:rFonts w:ascii="Verdana" w:hAnsi="Verdana" w:cs="Arial"/>
          <w:sz w:val="24"/>
          <w:szCs w:val="24"/>
        </w:rPr>
      </w:pPr>
    </w:p>
    <w:sectPr w:rsidR="005679C2" w:rsidRPr="00A56122" w:rsidSect="00626CA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9761D"/>
    <w:multiLevelType w:val="hybridMultilevel"/>
    <w:tmpl w:val="11AAF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6621E6"/>
    <w:multiLevelType w:val="hybridMultilevel"/>
    <w:tmpl w:val="4D52B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171F92"/>
    <w:multiLevelType w:val="hybridMultilevel"/>
    <w:tmpl w:val="BEE61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E405A1"/>
    <w:multiLevelType w:val="hybridMultilevel"/>
    <w:tmpl w:val="61182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F50598"/>
    <w:multiLevelType w:val="hybridMultilevel"/>
    <w:tmpl w:val="AE188082"/>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5">
    <w:nsid w:val="5BFA481A"/>
    <w:multiLevelType w:val="hybridMultilevel"/>
    <w:tmpl w:val="A4329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A12ACC"/>
    <w:multiLevelType w:val="hybridMultilevel"/>
    <w:tmpl w:val="4156C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0"/>
  </w:num>
  <w:num w:numId="5">
    <w:abstractNumId w:val="6"/>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3A627B"/>
    <w:rsid w:val="0001223C"/>
    <w:rsid w:val="000374C2"/>
    <w:rsid w:val="00081916"/>
    <w:rsid w:val="0008518C"/>
    <w:rsid w:val="00093316"/>
    <w:rsid w:val="000970B0"/>
    <w:rsid w:val="000E2E4F"/>
    <w:rsid w:val="00166500"/>
    <w:rsid w:val="001978FB"/>
    <w:rsid w:val="001A35D6"/>
    <w:rsid w:val="001C5C9F"/>
    <w:rsid w:val="001E0770"/>
    <w:rsid w:val="002254DA"/>
    <w:rsid w:val="00285D9E"/>
    <w:rsid w:val="00295CFB"/>
    <w:rsid w:val="00316C9F"/>
    <w:rsid w:val="00383ECD"/>
    <w:rsid w:val="00387AD3"/>
    <w:rsid w:val="0039366C"/>
    <w:rsid w:val="00394F33"/>
    <w:rsid w:val="003A627B"/>
    <w:rsid w:val="003C370E"/>
    <w:rsid w:val="003F6FEC"/>
    <w:rsid w:val="00435B0B"/>
    <w:rsid w:val="00441449"/>
    <w:rsid w:val="004534FA"/>
    <w:rsid w:val="00465E6E"/>
    <w:rsid w:val="00471A13"/>
    <w:rsid w:val="004A2FC4"/>
    <w:rsid w:val="004D6BFC"/>
    <w:rsid w:val="004E1548"/>
    <w:rsid w:val="004E7B9C"/>
    <w:rsid w:val="0050716A"/>
    <w:rsid w:val="00547265"/>
    <w:rsid w:val="005679C2"/>
    <w:rsid w:val="005877D3"/>
    <w:rsid w:val="005B7BA1"/>
    <w:rsid w:val="005C7FC3"/>
    <w:rsid w:val="00626CA8"/>
    <w:rsid w:val="006367CA"/>
    <w:rsid w:val="006557B1"/>
    <w:rsid w:val="006A7CF1"/>
    <w:rsid w:val="006D2810"/>
    <w:rsid w:val="007069CC"/>
    <w:rsid w:val="00741CC4"/>
    <w:rsid w:val="00744500"/>
    <w:rsid w:val="00762F72"/>
    <w:rsid w:val="007A54C7"/>
    <w:rsid w:val="007E274D"/>
    <w:rsid w:val="00825D4D"/>
    <w:rsid w:val="00830A0B"/>
    <w:rsid w:val="00834103"/>
    <w:rsid w:val="00847F54"/>
    <w:rsid w:val="00874083"/>
    <w:rsid w:val="00885921"/>
    <w:rsid w:val="008D2071"/>
    <w:rsid w:val="00913A12"/>
    <w:rsid w:val="009552D6"/>
    <w:rsid w:val="00974768"/>
    <w:rsid w:val="009A26FD"/>
    <w:rsid w:val="00A02E34"/>
    <w:rsid w:val="00A56122"/>
    <w:rsid w:val="00A623DC"/>
    <w:rsid w:val="00A624A3"/>
    <w:rsid w:val="00AB4108"/>
    <w:rsid w:val="00AB5DEF"/>
    <w:rsid w:val="00AE44C0"/>
    <w:rsid w:val="00B22B1B"/>
    <w:rsid w:val="00B84AAD"/>
    <w:rsid w:val="00B91C46"/>
    <w:rsid w:val="00BB6235"/>
    <w:rsid w:val="00BC1DB8"/>
    <w:rsid w:val="00BD1C30"/>
    <w:rsid w:val="00BD4859"/>
    <w:rsid w:val="00BF663F"/>
    <w:rsid w:val="00C04A39"/>
    <w:rsid w:val="00C06C9A"/>
    <w:rsid w:val="00C17B64"/>
    <w:rsid w:val="00C24D0E"/>
    <w:rsid w:val="00C40DDB"/>
    <w:rsid w:val="00C7386E"/>
    <w:rsid w:val="00C83508"/>
    <w:rsid w:val="00CA4259"/>
    <w:rsid w:val="00CB7FD0"/>
    <w:rsid w:val="00CD0E7F"/>
    <w:rsid w:val="00D04C30"/>
    <w:rsid w:val="00D10237"/>
    <w:rsid w:val="00D15B07"/>
    <w:rsid w:val="00D552C9"/>
    <w:rsid w:val="00DC6A24"/>
    <w:rsid w:val="00DF0BCE"/>
    <w:rsid w:val="00E0530E"/>
    <w:rsid w:val="00E318EE"/>
    <w:rsid w:val="00E656F7"/>
    <w:rsid w:val="00E81155"/>
    <w:rsid w:val="00ED3830"/>
    <w:rsid w:val="00EE6A29"/>
    <w:rsid w:val="00EF3CB2"/>
    <w:rsid w:val="00F0140C"/>
    <w:rsid w:val="00F7237C"/>
    <w:rsid w:val="00F8568F"/>
    <w:rsid w:val="00F95297"/>
    <w:rsid w:val="00FC52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CA8"/>
  </w:style>
  <w:style w:type="paragraph" w:styleId="Heading5">
    <w:name w:val="heading 5"/>
    <w:basedOn w:val="Normal"/>
    <w:link w:val="Heading5Char"/>
    <w:uiPriority w:val="9"/>
    <w:qFormat/>
    <w:rsid w:val="00AB5DEF"/>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1C46"/>
    <w:pPr>
      <w:ind w:left="720"/>
      <w:contextualSpacing/>
    </w:pPr>
  </w:style>
  <w:style w:type="paragraph" w:styleId="BalloonText">
    <w:name w:val="Balloon Text"/>
    <w:basedOn w:val="Normal"/>
    <w:link w:val="BalloonTextChar"/>
    <w:uiPriority w:val="99"/>
    <w:semiHidden/>
    <w:unhideWhenUsed/>
    <w:rsid w:val="00B91C46"/>
    <w:rPr>
      <w:rFonts w:ascii="Tahoma" w:hAnsi="Tahoma" w:cs="Tahoma"/>
      <w:sz w:val="16"/>
      <w:szCs w:val="16"/>
    </w:rPr>
  </w:style>
  <w:style w:type="character" w:customStyle="1" w:styleId="BalloonTextChar">
    <w:name w:val="Balloon Text Char"/>
    <w:basedOn w:val="DefaultParagraphFont"/>
    <w:link w:val="BalloonText"/>
    <w:uiPriority w:val="99"/>
    <w:semiHidden/>
    <w:rsid w:val="00B91C46"/>
    <w:rPr>
      <w:rFonts w:ascii="Tahoma" w:hAnsi="Tahoma" w:cs="Tahoma"/>
      <w:sz w:val="16"/>
      <w:szCs w:val="16"/>
    </w:rPr>
  </w:style>
  <w:style w:type="character" w:styleId="CommentReference">
    <w:name w:val="annotation reference"/>
    <w:basedOn w:val="DefaultParagraphFont"/>
    <w:uiPriority w:val="99"/>
    <w:semiHidden/>
    <w:unhideWhenUsed/>
    <w:rsid w:val="005679C2"/>
    <w:rPr>
      <w:sz w:val="16"/>
      <w:szCs w:val="16"/>
    </w:rPr>
  </w:style>
  <w:style w:type="paragraph" w:styleId="CommentText">
    <w:name w:val="annotation text"/>
    <w:basedOn w:val="Normal"/>
    <w:link w:val="CommentTextChar"/>
    <w:uiPriority w:val="99"/>
    <w:semiHidden/>
    <w:unhideWhenUsed/>
    <w:rsid w:val="005679C2"/>
    <w:rPr>
      <w:sz w:val="20"/>
      <w:szCs w:val="20"/>
    </w:rPr>
  </w:style>
  <w:style w:type="character" w:customStyle="1" w:styleId="CommentTextChar">
    <w:name w:val="Comment Text Char"/>
    <w:basedOn w:val="DefaultParagraphFont"/>
    <w:link w:val="CommentText"/>
    <w:uiPriority w:val="99"/>
    <w:semiHidden/>
    <w:rsid w:val="005679C2"/>
    <w:rPr>
      <w:sz w:val="20"/>
      <w:szCs w:val="20"/>
    </w:rPr>
  </w:style>
  <w:style w:type="paragraph" w:styleId="CommentSubject">
    <w:name w:val="annotation subject"/>
    <w:basedOn w:val="CommentText"/>
    <w:next w:val="CommentText"/>
    <w:link w:val="CommentSubjectChar"/>
    <w:uiPriority w:val="99"/>
    <w:semiHidden/>
    <w:unhideWhenUsed/>
    <w:rsid w:val="005679C2"/>
    <w:rPr>
      <w:b/>
      <w:bCs/>
    </w:rPr>
  </w:style>
  <w:style w:type="character" w:customStyle="1" w:styleId="CommentSubjectChar">
    <w:name w:val="Comment Subject Char"/>
    <w:basedOn w:val="CommentTextChar"/>
    <w:link w:val="CommentSubject"/>
    <w:uiPriority w:val="99"/>
    <w:semiHidden/>
    <w:rsid w:val="005679C2"/>
    <w:rPr>
      <w:b/>
      <w:bCs/>
    </w:rPr>
  </w:style>
  <w:style w:type="paragraph" w:styleId="BodyText">
    <w:name w:val="Body Text"/>
    <w:basedOn w:val="Normal"/>
    <w:link w:val="BodyTextChar"/>
    <w:rsid w:val="005679C2"/>
    <w:pPr>
      <w:spacing w:line="48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5679C2"/>
    <w:rPr>
      <w:rFonts w:ascii="Times New Roman" w:eastAsia="Times New Roman" w:hAnsi="Times New Roman" w:cs="Times New Roman"/>
      <w:sz w:val="24"/>
      <w:szCs w:val="20"/>
    </w:rPr>
  </w:style>
  <w:style w:type="paragraph" w:styleId="BodyTextIndent">
    <w:name w:val="Body Text Indent"/>
    <w:basedOn w:val="Normal"/>
    <w:link w:val="BodyTextIndentChar"/>
    <w:rsid w:val="005679C2"/>
    <w:pPr>
      <w:spacing w:after="120"/>
      <w:ind w:left="36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5679C2"/>
    <w:rPr>
      <w:rFonts w:ascii="Times New Roman" w:eastAsia="Times New Roman" w:hAnsi="Times New Roman" w:cs="Times New Roman"/>
      <w:sz w:val="20"/>
      <w:szCs w:val="20"/>
    </w:rPr>
  </w:style>
  <w:style w:type="character" w:styleId="Hyperlink">
    <w:name w:val="Hyperlink"/>
    <w:basedOn w:val="DefaultParagraphFont"/>
    <w:uiPriority w:val="99"/>
    <w:unhideWhenUsed/>
    <w:rsid w:val="0008518C"/>
    <w:rPr>
      <w:color w:val="0000FF" w:themeColor="hyperlink"/>
      <w:u w:val="single"/>
    </w:rPr>
  </w:style>
  <w:style w:type="character" w:styleId="FollowedHyperlink">
    <w:name w:val="FollowedHyperlink"/>
    <w:basedOn w:val="DefaultParagraphFont"/>
    <w:uiPriority w:val="99"/>
    <w:semiHidden/>
    <w:unhideWhenUsed/>
    <w:rsid w:val="00B22B1B"/>
    <w:rPr>
      <w:color w:val="800080" w:themeColor="followedHyperlink"/>
      <w:u w:val="single"/>
    </w:rPr>
  </w:style>
  <w:style w:type="character" w:customStyle="1" w:styleId="Heading5Char">
    <w:name w:val="Heading 5 Char"/>
    <w:basedOn w:val="DefaultParagraphFont"/>
    <w:link w:val="Heading5"/>
    <w:uiPriority w:val="9"/>
    <w:rsid w:val="00AB5DEF"/>
    <w:rPr>
      <w:rFonts w:ascii="Times New Roman" w:eastAsia="Times New Roman" w:hAnsi="Times New Roman" w:cs="Times New Roman"/>
      <w:b/>
      <w:bCs/>
      <w:sz w:val="20"/>
      <w:szCs w:val="20"/>
    </w:rPr>
  </w:style>
  <w:style w:type="paragraph" w:styleId="NormalWeb">
    <w:name w:val="Normal (Web)"/>
    <w:basedOn w:val="Normal"/>
    <w:uiPriority w:val="99"/>
    <w:unhideWhenUsed/>
    <w:rsid w:val="00AB5DEF"/>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12588640">
      <w:bodyDiv w:val="1"/>
      <w:marLeft w:val="0"/>
      <w:marRight w:val="0"/>
      <w:marTop w:val="0"/>
      <w:marBottom w:val="0"/>
      <w:divBdr>
        <w:top w:val="none" w:sz="0" w:space="0" w:color="auto"/>
        <w:left w:val="none" w:sz="0" w:space="0" w:color="auto"/>
        <w:bottom w:val="none" w:sz="0" w:space="0" w:color="auto"/>
        <w:right w:val="none" w:sz="0" w:space="0" w:color="auto"/>
      </w:divBdr>
    </w:div>
    <w:div w:id="1950115333">
      <w:bodyDiv w:val="1"/>
      <w:marLeft w:val="0"/>
      <w:marRight w:val="0"/>
      <w:marTop w:val="0"/>
      <w:marBottom w:val="0"/>
      <w:divBdr>
        <w:top w:val="none" w:sz="0" w:space="0" w:color="auto"/>
        <w:left w:val="none" w:sz="0" w:space="0" w:color="auto"/>
        <w:bottom w:val="none" w:sz="0" w:space="0" w:color="auto"/>
        <w:right w:val="none" w:sz="0" w:space="0" w:color="auto"/>
      </w:divBdr>
      <w:divsChild>
        <w:div w:id="199980995">
          <w:marLeft w:val="10"/>
          <w:marRight w:val="0"/>
          <w:marTop w:val="0"/>
          <w:marBottom w:val="0"/>
          <w:divBdr>
            <w:top w:val="none" w:sz="0" w:space="0" w:color="auto"/>
            <w:left w:val="none" w:sz="0" w:space="0" w:color="auto"/>
            <w:bottom w:val="none" w:sz="0" w:space="0" w:color="auto"/>
            <w:right w:val="none" w:sz="0" w:space="0" w:color="auto"/>
          </w:divBdr>
        </w:div>
        <w:div w:id="297689425">
          <w:marLeft w:val="1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ec.gov/Archives/edgar/data/1490281/000104746911008605/a2205238zs-1a.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278</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Villanova University</Company>
  <LinksUpToDate>false</LinksUpToDate>
  <CharactersWithSpaces>1866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Catanach</dc:creator>
  <cp:lastModifiedBy>Ed Ketz</cp:lastModifiedBy>
  <cp:revision>3</cp:revision>
  <cp:lastPrinted>2011-08-13T14:23:00Z</cp:lastPrinted>
  <dcterms:created xsi:type="dcterms:W3CDTF">2011-10-21T14:10:00Z</dcterms:created>
  <dcterms:modified xsi:type="dcterms:W3CDTF">2011-10-21T14:25:00Z</dcterms:modified>
</cp:coreProperties>
</file>