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911D72" w:rsidP="00E81155">
      <w:pPr>
        <w:rPr>
          <w:rFonts w:ascii="Arial" w:hAnsi="Arial" w:cs="Arial"/>
          <w:b/>
          <w:sz w:val="28"/>
          <w:szCs w:val="28"/>
        </w:rPr>
      </w:pPr>
      <w:r>
        <w:rPr>
          <w:rFonts w:ascii="Arial" w:hAnsi="Arial" w:cs="Arial"/>
          <w:b/>
          <w:sz w:val="28"/>
          <w:szCs w:val="28"/>
        </w:rPr>
        <w:t>CONSISTENCY IN ACCOUNTING AND LEGAL DISCOURSES:</w:t>
      </w:r>
      <w:r w:rsidR="00D46EED">
        <w:rPr>
          <w:rFonts w:ascii="Arial" w:hAnsi="Arial" w:cs="Arial"/>
          <w:b/>
          <w:sz w:val="28"/>
          <w:szCs w:val="28"/>
        </w:rPr>
        <w:br/>
      </w:r>
      <w:r>
        <w:rPr>
          <w:rFonts w:ascii="Arial" w:hAnsi="Arial" w:cs="Arial"/>
          <w:b/>
          <w:sz w:val="28"/>
          <w:szCs w:val="28"/>
        </w:rPr>
        <w:t xml:space="preserve">THE OVERTIME CASES </w:t>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080D90">
        <w:rPr>
          <w:rFonts w:ascii="Arial" w:hAnsi="Arial" w:cs="Arial"/>
          <w:b/>
          <w:i/>
          <w:sz w:val="24"/>
          <w:szCs w:val="24"/>
        </w:rPr>
        <w:t xml:space="preserve">October </w:t>
      </w:r>
      <w:r>
        <w:rPr>
          <w:rFonts w:ascii="Arial" w:hAnsi="Arial" w:cs="Arial"/>
          <w:b/>
          <w:i/>
          <w:sz w:val="24"/>
          <w:szCs w:val="24"/>
        </w:rPr>
        <w:t>2011</w:t>
      </w:r>
    </w:p>
    <w:p w:rsidR="0050716A" w:rsidRDefault="0050716A" w:rsidP="00D7299A">
      <w:pPr>
        <w:rPr>
          <w:rFonts w:ascii="Verdana" w:hAnsi="Verdana"/>
          <w:sz w:val="24"/>
          <w:szCs w:val="24"/>
        </w:rPr>
      </w:pPr>
    </w:p>
    <w:p w:rsidR="00911D72" w:rsidRDefault="00911D72" w:rsidP="00D7299A">
      <w:pPr>
        <w:rPr>
          <w:rFonts w:ascii="Verdana" w:hAnsi="Verdana"/>
          <w:sz w:val="24"/>
          <w:szCs w:val="24"/>
        </w:rPr>
      </w:pPr>
    </w:p>
    <w:p w:rsidR="00911D72" w:rsidRDefault="00911D72" w:rsidP="00D7299A">
      <w:pPr>
        <w:rPr>
          <w:rFonts w:ascii="Verdana" w:hAnsi="Verdana"/>
          <w:sz w:val="24"/>
          <w:szCs w:val="24"/>
        </w:rPr>
      </w:pPr>
    </w:p>
    <w:p w:rsidR="00743614" w:rsidRDefault="00743614" w:rsidP="00D7299A">
      <w:pPr>
        <w:rPr>
          <w:rFonts w:ascii="Verdana" w:hAnsi="Verdana"/>
          <w:sz w:val="24"/>
          <w:szCs w:val="24"/>
        </w:rPr>
      </w:pPr>
      <w:r>
        <w:rPr>
          <w:rFonts w:ascii="Verdana" w:hAnsi="Verdana"/>
          <w:sz w:val="24"/>
          <w:szCs w:val="24"/>
        </w:rPr>
        <w:t>For several years battle</w:t>
      </w:r>
      <w:r w:rsidR="00A66E4B">
        <w:rPr>
          <w:rFonts w:ascii="Verdana" w:hAnsi="Verdana"/>
          <w:sz w:val="24"/>
          <w:szCs w:val="24"/>
        </w:rPr>
        <w:t>s</w:t>
      </w:r>
      <w:r>
        <w:rPr>
          <w:rFonts w:ascii="Verdana" w:hAnsi="Verdana"/>
          <w:sz w:val="24"/>
          <w:szCs w:val="24"/>
        </w:rPr>
        <w:t xml:space="preserve"> </w:t>
      </w:r>
      <w:r w:rsidR="005B5E35">
        <w:rPr>
          <w:rFonts w:ascii="Verdana" w:hAnsi="Verdana"/>
          <w:sz w:val="24"/>
          <w:szCs w:val="24"/>
        </w:rPr>
        <w:t xml:space="preserve">have raged </w:t>
      </w:r>
      <w:r>
        <w:rPr>
          <w:rFonts w:ascii="Verdana" w:hAnsi="Verdana"/>
          <w:sz w:val="24"/>
          <w:szCs w:val="24"/>
        </w:rPr>
        <w:t xml:space="preserve">in </w:t>
      </w:r>
      <w:r w:rsidR="00A66E4B">
        <w:rPr>
          <w:rFonts w:ascii="Verdana" w:hAnsi="Verdana"/>
          <w:sz w:val="24"/>
          <w:szCs w:val="24"/>
        </w:rPr>
        <w:t>several</w:t>
      </w:r>
      <w:r>
        <w:rPr>
          <w:rFonts w:ascii="Verdana" w:hAnsi="Verdana"/>
          <w:sz w:val="24"/>
          <w:szCs w:val="24"/>
        </w:rPr>
        <w:t xml:space="preserve"> courtrooms concerning whether accounting firms have a legal obligation to pay junior accountants overtime.  We are sympathetic to the position of the accounting firms, but worry about </w:t>
      </w:r>
      <w:r w:rsidR="005B5E35">
        <w:rPr>
          <w:rFonts w:ascii="Verdana" w:hAnsi="Verdana"/>
          <w:sz w:val="24"/>
          <w:szCs w:val="24"/>
        </w:rPr>
        <w:t>the soundness of their legal reasoning and conclusions</w:t>
      </w:r>
      <w:r>
        <w:rPr>
          <w:rFonts w:ascii="Verdana" w:hAnsi="Verdana"/>
          <w:sz w:val="24"/>
          <w:szCs w:val="24"/>
        </w:rPr>
        <w:t>.  Do accounting firms have to be consistent in different domains</w:t>
      </w:r>
      <w:r w:rsidR="006B71B6">
        <w:rPr>
          <w:rFonts w:ascii="Verdana" w:hAnsi="Verdana"/>
          <w:sz w:val="24"/>
          <w:szCs w:val="24"/>
        </w:rPr>
        <w:t xml:space="preserve">?  For example, </w:t>
      </w:r>
      <w:r>
        <w:rPr>
          <w:rFonts w:ascii="Verdana" w:hAnsi="Verdana"/>
          <w:sz w:val="24"/>
          <w:szCs w:val="24"/>
        </w:rPr>
        <w:t xml:space="preserve">does the logic in </w:t>
      </w:r>
      <w:r w:rsidR="006B71B6">
        <w:rPr>
          <w:rFonts w:ascii="Verdana" w:hAnsi="Verdana"/>
          <w:sz w:val="24"/>
          <w:szCs w:val="24"/>
        </w:rPr>
        <w:t xml:space="preserve">legal </w:t>
      </w:r>
      <w:r>
        <w:rPr>
          <w:rFonts w:ascii="Verdana" w:hAnsi="Verdana"/>
          <w:sz w:val="24"/>
          <w:szCs w:val="24"/>
        </w:rPr>
        <w:t>briefs and oral argument</w:t>
      </w:r>
      <w:r w:rsidR="006B71B6">
        <w:rPr>
          <w:rFonts w:ascii="Verdana" w:hAnsi="Verdana"/>
          <w:sz w:val="24"/>
          <w:szCs w:val="24"/>
        </w:rPr>
        <w:t>s</w:t>
      </w:r>
      <w:r>
        <w:rPr>
          <w:rFonts w:ascii="Verdana" w:hAnsi="Verdana"/>
          <w:sz w:val="24"/>
          <w:szCs w:val="24"/>
        </w:rPr>
        <w:t xml:space="preserve"> have to be congruent with ethical principles and auditing standards?</w:t>
      </w:r>
    </w:p>
    <w:p w:rsidR="00743614" w:rsidRDefault="00743614" w:rsidP="00D7299A">
      <w:pPr>
        <w:rPr>
          <w:rFonts w:ascii="Verdana" w:hAnsi="Verdana"/>
          <w:sz w:val="24"/>
          <w:szCs w:val="24"/>
        </w:rPr>
      </w:pPr>
    </w:p>
    <w:p w:rsidR="00743614" w:rsidRDefault="00743614" w:rsidP="00D7299A">
      <w:pPr>
        <w:rPr>
          <w:rFonts w:ascii="Verdana" w:hAnsi="Verdana"/>
          <w:sz w:val="24"/>
          <w:szCs w:val="24"/>
        </w:rPr>
      </w:pPr>
      <w:r>
        <w:rPr>
          <w:rFonts w:ascii="Verdana" w:hAnsi="Verdana"/>
          <w:sz w:val="24"/>
          <w:szCs w:val="24"/>
        </w:rPr>
        <w:t>There</w:t>
      </w:r>
      <w:r w:rsidR="00A66E4B">
        <w:rPr>
          <w:rFonts w:ascii="Verdana" w:hAnsi="Verdana"/>
          <w:sz w:val="24"/>
          <w:szCs w:val="24"/>
        </w:rPr>
        <w:t xml:space="preserve"> are a number of </w:t>
      </w:r>
      <w:r w:rsidR="006B71B6">
        <w:rPr>
          <w:rFonts w:ascii="Verdana" w:hAnsi="Verdana"/>
          <w:sz w:val="24"/>
          <w:szCs w:val="24"/>
        </w:rPr>
        <w:t xml:space="preserve">accounting overtime </w:t>
      </w:r>
      <w:r w:rsidR="00A66E4B">
        <w:rPr>
          <w:rFonts w:ascii="Verdana" w:hAnsi="Verdana"/>
          <w:sz w:val="24"/>
          <w:szCs w:val="24"/>
        </w:rPr>
        <w:t>cases, including Campbell and Sobek v. PwC (California) and Litchfield v. KPMG (Washington).  Essentially the facts in these cases are the same.  Plaintiffs are unlicensed employees of a Big Four firm in the attestation unit</w:t>
      </w:r>
      <w:r w:rsidR="008A054A">
        <w:rPr>
          <w:rFonts w:ascii="Verdana" w:hAnsi="Verdana"/>
          <w:sz w:val="24"/>
          <w:szCs w:val="24"/>
        </w:rPr>
        <w:t xml:space="preserve"> or division who serve as associates or senior associates.  They worked long hours but were not paid overtime; the plaintiffs seek damages in the amount of the unpaid overtime work</w:t>
      </w:r>
      <w:r w:rsidR="00B524E0">
        <w:rPr>
          <w:rFonts w:ascii="Verdana" w:hAnsi="Verdana"/>
          <w:sz w:val="24"/>
          <w:szCs w:val="24"/>
        </w:rPr>
        <w:t>.</w:t>
      </w:r>
    </w:p>
    <w:p w:rsidR="002128C4" w:rsidRDefault="002128C4" w:rsidP="00D7299A">
      <w:pPr>
        <w:rPr>
          <w:rFonts w:ascii="Verdana" w:hAnsi="Verdana"/>
          <w:sz w:val="24"/>
          <w:szCs w:val="24"/>
        </w:rPr>
      </w:pPr>
    </w:p>
    <w:p w:rsidR="002128C4" w:rsidRDefault="002128C4" w:rsidP="00D7299A">
      <w:pPr>
        <w:rPr>
          <w:rFonts w:ascii="Verdana" w:hAnsi="Verdana"/>
          <w:sz w:val="24"/>
          <w:szCs w:val="24"/>
        </w:rPr>
      </w:pPr>
      <w:r>
        <w:rPr>
          <w:rFonts w:ascii="Verdana" w:hAnsi="Verdana"/>
          <w:sz w:val="24"/>
          <w:szCs w:val="24"/>
        </w:rPr>
        <w:t xml:space="preserve">On September 20, in Ho v. Ernst &amp; Young, the court partially certified a class of junior tax accountants at E&amp;Y in California.  These overtime cases now include other areas of accounting </w:t>
      </w:r>
      <w:r w:rsidR="005F063B">
        <w:rPr>
          <w:rFonts w:ascii="Verdana" w:hAnsi="Verdana"/>
          <w:sz w:val="24"/>
          <w:szCs w:val="24"/>
        </w:rPr>
        <w:t xml:space="preserve">besides </w:t>
      </w:r>
      <w:r>
        <w:rPr>
          <w:rFonts w:ascii="Verdana" w:hAnsi="Verdana"/>
          <w:sz w:val="24"/>
          <w:szCs w:val="24"/>
        </w:rPr>
        <w:t>attestation.</w:t>
      </w:r>
    </w:p>
    <w:p w:rsidR="00B524E0" w:rsidRDefault="00B524E0" w:rsidP="00D7299A">
      <w:pPr>
        <w:rPr>
          <w:rFonts w:ascii="Verdana" w:hAnsi="Verdana"/>
          <w:sz w:val="24"/>
          <w:szCs w:val="24"/>
        </w:rPr>
      </w:pPr>
    </w:p>
    <w:p w:rsidR="00B524E0" w:rsidRDefault="00B524E0" w:rsidP="00D7299A">
      <w:pPr>
        <w:rPr>
          <w:rFonts w:ascii="Verdana" w:hAnsi="Verdana"/>
          <w:sz w:val="24"/>
          <w:szCs w:val="24"/>
        </w:rPr>
      </w:pPr>
      <w:r>
        <w:rPr>
          <w:rFonts w:ascii="Verdana" w:hAnsi="Verdana"/>
          <w:sz w:val="24"/>
          <w:szCs w:val="24"/>
        </w:rPr>
        <w:t>Details of these cases can be found at: Orey’s BusinessWeek article “</w:t>
      </w:r>
      <w:hyperlink r:id="rId5" w:history="1">
        <w:r w:rsidRPr="00DE6A43">
          <w:rPr>
            <w:rStyle w:val="Hyperlink"/>
            <w:rFonts w:ascii="Verdana" w:hAnsi="Verdana"/>
            <w:sz w:val="24"/>
            <w:szCs w:val="24"/>
          </w:rPr>
          <w:t>Wage Wars</w:t>
        </w:r>
      </w:hyperlink>
      <w:r>
        <w:rPr>
          <w:rFonts w:ascii="Verdana" w:hAnsi="Verdana"/>
          <w:sz w:val="24"/>
          <w:szCs w:val="24"/>
        </w:rPr>
        <w:t xml:space="preserve">,” </w:t>
      </w:r>
      <w:r w:rsidR="00DE6A43">
        <w:rPr>
          <w:rFonts w:ascii="Verdana" w:hAnsi="Verdana"/>
          <w:sz w:val="24"/>
          <w:szCs w:val="24"/>
        </w:rPr>
        <w:t>Francine McKenna’s “</w:t>
      </w:r>
      <w:hyperlink r:id="rId6" w:history="1">
        <w:r w:rsidR="00DE6A43" w:rsidRPr="00DE6A43">
          <w:rPr>
            <w:rStyle w:val="Hyperlink"/>
            <w:rFonts w:ascii="Verdana" w:hAnsi="Verdana"/>
            <w:sz w:val="24"/>
            <w:szCs w:val="24"/>
          </w:rPr>
          <w:t>PwC Hit with Overtime Lawsuit Wave</w:t>
        </w:r>
      </w:hyperlink>
      <w:r w:rsidR="00DE6A43">
        <w:rPr>
          <w:rFonts w:ascii="Verdana" w:hAnsi="Verdana"/>
          <w:sz w:val="24"/>
          <w:szCs w:val="24"/>
        </w:rPr>
        <w:t>” and “</w:t>
      </w:r>
      <w:hyperlink r:id="rId7" w:history="1">
        <w:r w:rsidR="00DE6A43" w:rsidRPr="00DE6A43">
          <w:rPr>
            <w:rStyle w:val="Hyperlink"/>
            <w:rFonts w:ascii="Verdana" w:hAnsi="Verdana"/>
            <w:sz w:val="24"/>
            <w:szCs w:val="24"/>
          </w:rPr>
          <w:t>Auditors Want Overtime: California Lawsuit Against PwC Could Change Model</w:t>
        </w:r>
      </w:hyperlink>
      <w:r w:rsidR="00DE6A43">
        <w:rPr>
          <w:rFonts w:ascii="Verdana" w:hAnsi="Verdana"/>
          <w:sz w:val="24"/>
          <w:szCs w:val="24"/>
        </w:rPr>
        <w:t>,” Caleb Newquist’s “</w:t>
      </w:r>
      <w:hyperlink r:id="rId8" w:history="1">
        <w:r w:rsidR="00DE6A43" w:rsidRPr="00DE6A43">
          <w:rPr>
            <w:rStyle w:val="Hyperlink"/>
            <w:rFonts w:ascii="Verdana" w:hAnsi="Verdana"/>
            <w:sz w:val="24"/>
            <w:szCs w:val="24"/>
          </w:rPr>
          <w:t>Plaintiffs File Brief in Overtime Lawsuits Against PricewaterhouseCoopers</w:t>
        </w:r>
      </w:hyperlink>
      <w:r w:rsidR="00DE6A43">
        <w:rPr>
          <w:rFonts w:ascii="Verdana" w:hAnsi="Verdana"/>
          <w:sz w:val="24"/>
          <w:szCs w:val="24"/>
        </w:rPr>
        <w:t>,” and Kim Lacata’s “</w:t>
      </w:r>
      <w:hyperlink r:id="rId9" w:history="1">
        <w:r w:rsidR="00DE6A43" w:rsidRPr="00DE6A43">
          <w:rPr>
            <w:rStyle w:val="Hyperlink"/>
            <w:rFonts w:ascii="Verdana" w:hAnsi="Verdana"/>
            <w:sz w:val="24"/>
            <w:szCs w:val="24"/>
          </w:rPr>
          <w:t>Another Accounting Firm Hit With Overtime Suit</w:t>
        </w:r>
      </w:hyperlink>
      <w:r w:rsidR="00DE6A43">
        <w:rPr>
          <w:rFonts w:ascii="Verdana" w:hAnsi="Verdana"/>
          <w:sz w:val="24"/>
          <w:szCs w:val="24"/>
        </w:rPr>
        <w:t xml:space="preserve">.”  Similar suits were filed in </w:t>
      </w:r>
      <w:hyperlink r:id="rId10" w:history="1">
        <w:r w:rsidR="00DE6A43" w:rsidRPr="001B7AD1">
          <w:rPr>
            <w:rStyle w:val="Hyperlink"/>
            <w:rFonts w:ascii="Verdana" w:hAnsi="Verdana"/>
            <w:sz w:val="24"/>
            <w:szCs w:val="24"/>
          </w:rPr>
          <w:t>Canada</w:t>
        </w:r>
      </w:hyperlink>
      <w:r w:rsidR="00DE6A43">
        <w:rPr>
          <w:rFonts w:ascii="Verdana" w:hAnsi="Verdana"/>
          <w:sz w:val="24"/>
          <w:szCs w:val="24"/>
        </w:rPr>
        <w:t xml:space="preserve"> as well, where three of the four lar</w:t>
      </w:r>
      <w:r w:rsidR="001B7AD1">
        <w:rPr>
          <w:rFonts w:ascii="Verdana" w:hAnsi="Verdana"/>
          <w:sz w:val="24"/>
          <w:szCs w:val="24"/>
        </w:rPr>
        <w:t>ge accounting firms settled.</w:t>
      </w:r>
    </w:p>
    <w:p w:rsidR="00743614" w:rsidRDefault="00743614" w:rsidP="00D7299A">
      <w:pPr>
        <w:rPr>
          <w:rFonts w:ascii="Verdana" w:hAnsi="Verdana"/>
          <w:sz w:val="24"/>
          <w:szCs w:val="24"/>
        </w:rPr>
      </w:pPr>
    </w:p>
    <w:p w:rsidR="008A054A" w:rsidRDefault="008A054A" w:rsidP="00D7299A">
      <w:pPr>
        <w:rPr>
          <w:rFonts w:ascii="Verdana" w:hAnsi="Verdana"/>
          <w:sz w:val="24"/>
          <w:szCs w:val="24"/>
        </w:rPr>
      </w:pPr>
      <w:r>
        <w:rPr>
          <w:rFonts w:ascii="Verdana" w:hAnsi="Verdana"/>
          <w:sz w:val="24"/>
          <w:szCs w:val="24"/>
        </w:rPr>
        <w:t xml:space="preserve">We are sympathetic to the position of the large accounting firms because these firms </w:t>
      </w:r>
      <w:r w:rsidR="009655E6">
        <w:rPr>
          <w:rFonts w:ascii="Verdana" w:hAnsi="Verdana"/>
          <w:sz w:val="24"/>
          <w:szCs w:val="24"/>
        </w:rPr>
        <w:t xml:space="preserve">generally </w:t>
      </w:r>
      <w:r>
        <w:rPr>
          <w:rFonts w:ascii="Verdana" w:hAnsi="Verdana"/>
          <w:sz w:val="24"/>
          <w:szCs w:val="24"/>
        </w:rPr>
        <w:t xml:space="preserve">have been open and honest with potential recruits.  </w:t>
      </w:r>
      <w:r w:rsidR="009655E6">
        <w:rPr>
          <w:rFonts w:ascii="Verdana" w:hAnsi="Verdana"/>
          <w:sz w:val="24"/>
          <w:szCs w:val="24"/>
        </w:rPr>
        <w:t>While t</w:t>
      </w:r>
      <w:r>
        <w:rPr>
          <w:rFonts w:ascii="Verdana" w:hAnsi="Verdana"/>
          <w:sz w:val="24"/>
          <w:szCs w:val="24"/>
        </w:rPr>
        <w:t>hey do promise busy periods involving long hours with no overtime pay</w:t>
      </w:r>
      <w:r w:rsidR="009655E6">
        <w:rPr>
          <w:rFonts w:ascii="Verdana" w:hAnsi="Verdana"/>
          <w:sz w:val="24"/>
          <w:szCs w:val="24"/>
        </w:rPr>
        <w:t>, they historically have held out the prospect of other rewards (e.g., bonuses, extra vacation time, etc.)</w:t>
      </w:r>
      <w:r>
        <w:rPr>
          <w:rFonts w:ascii="Verdana" w:hAnsi="Verdana"/>
          <w:sz w:val="24"/>
          <w:szCs w:val="24"/>
        </w:rPr>
        <w:t>.  If these cases pivoted about contracts, they would be a slam dunk</w:t>
      </w:r>
      <w:r w:rsidR="009655E6">
        <w:rPr>
          <w:rFonts w:ascii="Verdana" w:hAnsi="Verdana"/>
          <w:sz w:val="24"/>
          <w:szCs w:val="24"/>
        </w:rPr>
        <w:t xml:space="preserve"> in favor of </w:t>
      </w:r>
      <w:r>
        <w:rPr>
          <w:rFonts w:ascii="Verdana" w:hAnsi="Verdana"/>
          <w:sz w:val="24"/>
          <w:szCs w:val="24"/>
        </w:rPr>
        <w:t xml:space="preserve">the large accounting firms.  </w:t>
      </w:r>
      <w:r w:rsidR="00285889">
        <w:rPr>
          <w:rFonts w:ascii="Verdana" w:hAnsi="Verdana"/>
          <w:sz w:val="24"/>
          <w:szCs w:val="24"/>
        </w:rPr>
        <w:t>R</w:t>
      </w:r>
      <w:r>
        <w:rPr>
          <w:rFonts w:ascii="Verdana" w:hAnsi="Verdana"/>
          <w:sz w:val="24"/>
          <w:szCs w:val="24"/>
        </w:rPr>
        <w:t>ecruit</w:t>
      </w:r>
      <w:r w:rsidR="00285889">
        <w:rPr>
          <w:rFonts w:ascii="Verdana" w:hAnsi="Verdana"/>
          <w:sz w:val="24"/>
          <w:szCs w:val="24"/>
        </w:rPr>
        <w:t>s</w:t>
      </w:r>
      <w:r>
        <w:rPr>
          <w:rFonts w:ascii="Verdana" w:hAnsi="Verdana"/>
          <w:sz w:val="24"/>
          <w:szCs w:val="24"/>
        </w:rPr>
        <w:t xml:space="preserve"> can</w:t>
      </w:r>
      <w:r w:rsidR="00285889">
        <w:rPr>
          <w:rFonts w:ascii="Verdana" w:hAnsi="Verdana"/>
          <w:sz w:val="24"/>
          <w:szCs w:val="24"/>
        </w:rPr>
        <w:t>not</w:t>
      </w:r>
      <w:r>
        <w:rPr>
          <w:rFonts w:ascii="Verdana" w:hAnsi="Verdana"/>
          <w:sz w:val="24"/>
          <w:szCs w:val="24"/>
        </w:rPr>
        <w:t xml:space="preserve"> claim </w:t>
      </w:r>
      <w:r w:rsidR="00285889">
        <w:rPr>
          <w:rFonts w:ascii="Verdana" w:hAnsi="Verdana"/>
          <w:sz w:val="24"/>
          <w:szCs w:val="24"/>
        </w:rPr>
        <w:t>t</w:t>
      </w:r>
      <w:r>
        <w:rPr>
          <w:rFonts w:ascii="Verdana" w:hAnsi="Verdana"/>
          <w:sz w:val="24"/>
          <w:szCs w:val="24"/>
        </w:rPr>
        <w:t>he</w:t>
      </w:r>
      <w:r w:rsidR="00285889">
        <w:rPr>
          <w:rFonts w:ascii="Verdana" w:hAnsi="Verdana"/>
          <w:sz w:val="24"/>
          <w:szCs w:val="24"/>
        </w:rPr>
        <w:t>y</w:t>
      </w:r>
      <w:r>
        <w:rPr>
          <w:rFonts w:ascii="Verdana" w:hAnsi="Verdana"/>
          <w:sz w:val="24"/>
          <w:szCs w:val="24"/>
        </w:rPr>
        <w:t xml:space="preserve"> did not know what awaited them.</w:t>
      </w:r>
    </w:p>
    <w:p w:rsidR="00743614" w:rsidRDefault="00743614" w:rsidP="00D7299A">
      <w:pPr>
        <w:rPr>
          <w:rFonts w:ascii="Verdana" w:hAnsi="Verdana"/>
          <w:sz w:val="24"/>
          <w:szCs w:val="24"/>
        </w:rPr>
      </w:pPr>
    </w:p>
    <w:p w:rsidR="008A054A" w:rsidRDefault="00DE6A43" w:rsidP="00D7299A">
      <w:pPr>
        <w:rPr>
          <w:rFonts w:ascii="Verdana" w:hAnsi="Verdana"/>
          <w:sz w:val="24"/>
          <w:szCs w:val="24"/>
        </w:rPr>
      </w:pPr>
      <w:r>
        <w:rPr>
          <w:rFonts w:ascii="Verdana" w:hAnsi="Verdana"/>
          <w:sz w:val="24"/>
          <w:szCs w:val="24"/>
        </w:rPr>
        <w:t xml:space="preserve">Further, if the plaintiffs prevail, it is easy to conclude that the </w:t>
      </w:r>
      <w:r w:rsidR="001B7AD1">
        <w:rPr>
          <w:rFonts w:ascii="Verdana" w:hAnsi="Verdana"/>
          <w:sz w:val="24"/>
          <w:szCs w:val="24"/>
        </w:rPr>
        <w:t>Big Four will most likely change the pay model</w:t>
      </w:r>
      <w:r w:rsidR="009655E6">
        <w:rPr>
          <w:rFonts w:ascii="Verdana" w:hAnsi="Verdana"/>
          <w:sz w:val="24"/>
          <w:szCs w:val="24"/>
        </w:rPr>
        <w:t xml:space="preserve"> in the future</w:t>
      </w:r>
      <w:r w:rsidR="001B7AD1">
        <w:rPr>
          <w:rFonts w:ascii="Verdana" w:hAnsi="Verdana"/>
          <w:sz w:val="24"/>
          <w:szCs w:val="24"/>
        </w:rPr>
        <w:t xml:space="preserve">.  The base </w:t>
      </w:r>
      <w:r w:rsidR="009655E6">
        <w:rPr>
          <w:rFonts w:ascii="Verdana" w:hAnsi="Verdana"/>
          <w:sz w:val="24"/>
          <w:szCs w:val="24"/>
        </w:rPr>
        <w:t>compensation</w:t>
      </w:r>
      <w:r w:rsidR="001B7AD1">
        <w:rPr>
          <w:rFonts w:ascii="Verdana" w:hAnsi="Verdana"/>
          <w:sz w:val="24"/>
          <w:szCs w:val="24"/>
        </w:rPr>
        <w:t xml:space="preserve"> will </w:t>
      </w:r>
      <w:r w:rsidR="001B7AD1">
        <w:rPr>
          <w:rFonts w:ascii="Verdana" w:hAnsi="Verdana"/>
          <w:sz w:val="24"/>
          <w:szCs w:val="24"/>
        </w:rPr>
        <w:lastRenderedPageBreak/>
        <w:t>be significantly reduced so that the base pay plus estimated overtime will equal the current levels.  If the plaintiffs prevail, they and their attorneys will be the only ones to benefit.</w:t>
      </w:r>
    </w:p>
    <w:p w:rsidR="00CB6559" w:rsidRDefault="00CB6559" w:rsidP="00D7299A">
      <w:pPr>
        <w:rPr>
          <w:rFonts w:ascii="Verdana" w:hAnsi="Verdana"/>
          <w:sz w:val="24"/>
          <w:szCs w:val="24"/>
        </w:rPr>
      </w:pPr>
    </w:p>
    <w:p w:rsidR="00C51E7A" w:rsidRDefault="001B7AD1" w:rsidP="00D7299A">
      <w:pPr>
        <w:rPr>
          <w:rFonts w:ascii="Verdana" w:hAnsi="Verdana"/>
          <w:sz w:val="24"/>
          <w:szCs w:val="24"/>
        </w:rPr>
      </w:pPr>
      <w:r>
        <w:rPr>
          <w:rFonts w:ascii="Verdana" w:hAnsi="Verdana"/>
          <w:sz w:val="24"/>
          <w:szCs w:val="24"/>
        </w:rPr>
        <w:t xml:space="preserve">Be that as it may, we have read some of the legal filings and are disturbed by </w:t>
      </w:r>
      <w:r w:rsidR="009655E6">
        <w:rPr>
          <w:rFonts w:ascii="Verdana" w:hAnsi="Verdana"/>
          <w:sz w:val="24"/>
          <w:szCs w:val="24"/>
        </w:rPr>
        <w:t xml:space="preserve">the </w:t>
      </w:r>
      <w:r>
        <w:rPr>
          <w:rFonts w:ascii="Verdana" w:hAnsi="Verdana"/>
          <w:sz w:val="24"/>
          <w:szCs w:val="24"/>
        </w:rPr>
        <w:t>defense counsel</w:t>
      </w:r>
      <w:r w:rsidR="009655E6">
        <w:rPr>
          <w:rFonts w:ascii="Verdana" w:hAnsi="Verdana"/>
          <w:sz w:val="24"/>
          <w:szCs w:val="24"/>
        </w:rPr>
        <w:t xml:space="preserve"> arguments</w:t>
      </w:r>
      <w:r>
        <w:rPr>
          <w:rFonts w:ascii="Verdana" w:hAnsi="Verdana"/>
          <w:sz w:val="24"/>
          <w:szCs w:val="24"/>
        </w:rPr>
        <w:t xml:space="preserve">.  </w:t>
      </w:r>
      <w:hyperlink r:id="rId11" w:history="1">
        <w:r w:rsidR="006F5623" w:rsidRPr="00562DDE">
          <w:rPr>
            <w:rStyle w:val="Hyperlink"/>
            <w:rFonts w:ascii="Verdana" w:hAnsi="Verdana"/>
            <w:sz w:val="24"/>
            <w:szCs w:val="24"/>
          </w:rPr>
          <w:t>Federal and state labor laws require overtime pay, but allow for various exemptions</w:t>
        </w:r>
      </w:hyperlink>
      <w:r w:rsidR="006F5623">
        <w:rPr>
          <w:rFonts w:ascii="Verdana" w:hAnsi="Verdana"/>
          <w:sz w:val="24"/>
          <w:szCs w:val="24"/>
        </w:rPr>
        <w:t xml:space="preserve">.  </w:t>
      </w:r>
      <w:r w:rsidR="00C51E7A">
        <w:rPr>
          <w:rFonts w:ascii="Verdana" w:hAnsi="Verdana"/>
          <w:sz w:val="24"/>
          <w:szCs w:val="24"/>
        </w:rPr>
        <w:t>One exemption is for “professionals</w:t>
      </w:r>
      <w:r w:rsidR="00285889">
        <w:rPr>
          <w:rFonts w:ascii="Verdana" w:hAnsi="Verdana"/>
          <w:sz w:val="24"/>
          <w:szCs w:val="24"/>
        </w:rPr>
        <w:t>,</w:t>
      </w:r>
      <w:r w:rsidR="00C51E7A">
        <w:rPr>
          <w:rFonts w:ascii="Verdana" w:hAnsi="Verdana"/>
          <w:sz w:val="24"/>
          <w:szCs w:val="24"/>
        </w:rPr>
        <w:t>” but unlicensed accountants may not be viewed as “professional.”  Only licensed CPAs can perform audits, so the license appears to be a demarcation whether this exemption can be applied.</w:t>
      </w:r>
    </w:p>
    <w:p w:rsidR="00C51E7A" w:rsidRDefault="00C51E7A" w:rsidP="00D7299A">
      <w:pPr>
        <w:rPr>
          <w:rFonts w:ascii="Verdana" w:hAnsi="Verdana"/>
          <w:sz w:val="24"/>
          <w:szCs w:val="24"/>
        </w:rPr>
      </w:pPr>
    </w:p>
    <w:p w:rsidR="00743614" w:rsidRDefault="00BC303E" w:rsidP="00D7299A">
      <w:pPr>
        <w:rPr>
          <w:rFonts w:ascii="Verdana" w:hAnsi="Verdana"/>
          <w:sz w:val="24"/>
          <w:szCs w:val="24"/>
        </w:rPr>
      </w:pPr>
      <w:r>
        <w:rPr>
          <w:rFonts w:ascii="Verdana" w:hAnsi="Verdana"/>
          <w:sz w:val="24"/>
          <w:szCs w:val="24"/>
        </w:rPr>
        <w:t>D</w:t>
      </w:r>
      <w:r w:rsidR="006F5623">
        <w:rPr>
          <w:rFonts w:ascii="Verdana" w:hAnsi="Verdana"/>
          <w:sz w:val="24"/>
          <w:szCs w:val="24"/>
        </w:rPr>
        <w:t xml:space="preserve">efense attorneys in many of these cases utilize the administrative exemption, which essentially states the firm does not have to pay overtime if the </w:t>
      </w:r>
      <w:r w:rsidR="004629A5">
        <w:rPr>
          <w:rFonts w:ascii="Verdana" w:hAnsi="Verdana"/>
          <w:sz w:val="24"/>
          <w:szCs w:val="24"/>
        </w:rPr>
        <w:t>employees have</w:t>
      </w:r>
      <w:r w:rsidR="006F5623">
        <w:rPr>
          <w:rFonts w:ascii="Verdana" w:hAnsi="Verdana"/>
          <w:sz w:val="24"/>
          <w:szCs w:val="24"/>
        </w:rPr>
        <w:t xml:space="preserve"> duties and responsibilities that require them to exercise discretion and independent judgment.</w:t>
      </w:r>
      <w:r>
        <w:rPr>
          <w:rFonts w:ascii="Verdana" w:hAnsi="Verdana"/>
          <w:sz w:val="24"/>
          <w:szCs w:val="24"/>
        </w:rPr>
        <w:t xml:space="preserve">  This is a peculiar thing to argue for a junior accountant working on an attest function, because he or she does not have the authority to issue an audit opinion.  How much discretion and judgment can these individuals exercise without simultaneously having the authority to form and write audit opinions?</w:t>
      </w:r>
    </w:p>
    <w:p w:rsidR="00FE0D12" w:rsidRDefault="00FE0D12" w:rsidP="00D7299A">
      <w:pPr>
        <w:rPr>
          <w:rFonts w:ascii="Verdana" w:hAnsi="Verdana"/>
          <w:sz w:val="24"/>
          <w:szCs w:val="24"/>
        </w:rPr>
      </w:pPr>
    </w:p>
    <w:p w:rsidR="00562DDE" w:rsidRDefault="00BC303E" w:rsidP="00D7299A">
      <w:pPr>
        <w:rPr>
          <w:rFonts w:ascii="Verdana" w:hAnsi="Verdana"/>
          <w:sz w:val="24"/>
          <w:szCs w:val="24"/>
        </w:rPr>
      </w:pPr>
      <w:r>
        <w:rPr>
          <w:rFonts w:ascii="Verdana" w:hAnsi="Verdana"/>
          <w:sz w:val="24"/>
          <w:szCs w:val="24"/>
        </w:rPr>
        <w:t xml:space="preserve">The Code of </w:t>
      </w:r>
      <w:r w:rsidR="00E271EA">
        <w:rPr>
          <w:rFonts w:ascii="Verdana" w:hAnsi="Verdana"/>
          <w:sz w:val="24"/>
          <w:szCs w:val="24"/>
        </w:rPr>
        <w:t xml:space="preserve">Professional Conduct </w:t>
      </w:r>
      <w:hyperlink r:id="rId12" w:history="1">
        <w:r w:rsidR="00E271EA" w:rsidRPr="00FF40EF">
          <w:rPr>
            <w:rStyle w:val="Hyperlink"/>
            <w:rFonts w:ascii="Verdana" w:hAnsi="Verdana"/>
            <w:sz w:val="24"/>
            <w:szCs w:val="24"/>
          </w:rPr>
          <w:t>Rule 201</w:t>
        </w:r>
      </w:hyperlink>
      <w:r w:rsidR="00E271EA">
        <w:rPr>
          <w:rFonts w:ascii="Verdana" w:hAnsi="Verdana"/>
          <w:sz w:val="24"/>
          <w:szCs w:val="24"/>
        </w:rPr>
        <w:t xml:space="preserve"> states that a member shall “exercise due professional care in the performance of professional services.”</w:t>
      </w:r>
      <w:r w:rsidR="004446D5">
        <w:rPr>
          <w:rFonts w:ascii="Verdana" w:hAnsi="Verdana"/>
          <w:sz w:val="24"/>
          <w:szCs w:val="24"/>
        </w:rPr>
        <w:t xml:space="preserve">  If the accounting partners and managers have to monitor the work of the associates, then their knowledge and wisdom seemingly is insufficient to form audit judgments.</w:t>
      </w:r>
    </w:p>
    <w:p w:rsidR="00562DDE" w:rsidRDefault="00562DDE" w:rsidP="00D7299A">
      <w:pPr>
        <w:rPr>
          <w:rFonts w:ascii="Verdana" w:hAnsi="Verdana"/>
          <w:sz w:val="24"/>
          <w:szCs w:val="24"/>
        </w:rPr>
      </w:pPr>
    </w:p>
    <w:p w:rsidR="00E271EA" w:rsidRDefault="00CF60F5" w:rsidP="00D7299A">
      <w:pPr>
        <w:rPr>
          <w:rFonts w:ascii="Verdana" w:hAnsi="Verdana"/>
          <w:sz w:val="24"/>
          <w:szCs w:val="24"/>
        </w:rPr>
      </w:pPr>
      <w:hyperlink r:id="rId13" w:history="1">
        <w:r w:rsidR="00BD4D82" w:rsidRPr="00BD4D82">
          <w:rPr>
            <w:rStyle w:val="Hyperlink"/>
            <w:rFonts w:ascii="Verdana" w:hAnsi="Verdana"/>
            <w:sz w:val="24"/>
            <w:szCs w:val="24"/>
          </w:rPr>
          <w:t>Standard No. 10</w:t>
        </w:r>
      </w:hyperlink>
      <w:r w:rsidR="00BD4D82">
        <w:rPr>
          <w:rFonts w:ascii="Verdana" w:hAnsi="Verdana"/>
          <w:sz w:val="24"/>
          <w:szCs w:val="24"/>
        </w:rPr>
        <w:t xml:space="preserve"> by the PCAOB bolsters this perspective.  This standard requires the auditor to supervise team members.  By this the PCAOB means that the auditor must inform team members about the objective of their work and how and when the audit procedures will be carried out; further, the auditor must review the work of team members to insure that the procedures were carried out and that the audit objectives were achieved.</w:t>
      </w:r>
    </w:p>
    <w:p w:rsidR="00E271EA" w:rsidRDefault="00E271EA" w:rsidP="00D7299A">
      <w:pPr>
        <w:rPr>
          <w:rFonts w:ascii="Verdana" w:hAnsi="Verdana"/>
          <w:sz w:val="24"/>
          <w:szCs w:val="24"/>
        </w:rPr>
      </w:pPr>
    </w:p>
    <w:p w:rsidR="00743614" w:rsidRDefault="00FE0D12" w:rsidP="00D7299A">
      <w:pPr>
        <w:rPr>
          <w:rFonts w:ascii="Verdana" w:hAnsi="Verdana"/>
          <w:sz w:val="24"/>
          <w:szCs w:val="24"/>
        </w:rPr>
      </w:pPr>
      <w:r>
        <w:rPr>
          <w:rFonts w:ascii="Verdana" w:hAnsi="Verdana"/>
          <w:sz w:val="24"/>
          <w:szCs w:val="24"/>
        </w:rPr>
        <w:t>Francine McKenna wonders out loud whether the auditors are willing to “</w:t>
      </w:r>
      <w:hyperlink r:id="rId14" w:history="1">
        <w:r w:rsidRPr="00FE0D12">
          <w:rPr>
            <w:rStyle w:val="Hyperlink"/>
            <w:rFonts w:ascii="Verdana" w:hAnsi="Verdana"/>
            <w:sz w:val="24"/>
            <w:szCs w:val="24"/>
          </w:rPr>
          <w:t>Say Anything</w:t>
        </w:r>
      </w:hyperlink>
      <w:r>
        <w:rPr>
          <w:rFonts w:ascii="Verdana" w:hAnsi="Verdana"/>
          <w:sz w:val="24"/>
          <w:szCs w:val="24"/>
        </w:rPr>
        <w:t>” in court to win a case.  While we are tempted to agree, for now we shall just say that the firms are inconsistent.  They say one thing in their legal discourses and the opposite in their accounting discourses.  Of course, there is always the issue of magnitude.  Unlicensed associates employ some degree of discretion and judgment in their work, but is this large enough to qualify for the administrative exemption from the Fair Labor Standards Act and similar state statutes but small enough not to run aground against Rule 201 and Standard No. 10?  We doubt it.</w:t>
      </w:r>
    </w:p>
    <w:p w:rsidR="00046753" w:rsidRDefault="00046753" w:rsidP="00046753">
      <w:pPr>
        <w:rPr>
          <w:rFonts w:ascii="Verdana" w:hAnsi="Verdana"/>
          <w:sz w:val="24"/>
          <w:szCs w:val="24"/>
        </w:rPr>
      </w:pPr>
    </w:p>
    <w:p w:rsidR="004629A5" w:rsidRDefault="004629A5" w:rsidP="004629A5">
      <w:pPr>
        <w:rPr>
          <w:rFonts w:ascii="Verdana" w:hAnsi="Verdana"/>
          <w:sz w:val="24"/>
          <w:szCs w:val="24"/>
        </w:rPr>
      </w:pPr>
      <w:r>
        <w:rPr>
          <w:rFonts w:ascii="Verdana" w:hAnsi="Verdana"/>
          <w:sz w:val="24"/>
          <w:szCs w:val="24"/>
        </w:rPr>
        <w:lastRenderedPageBreak/>
        <w:t>Finally, we’ve talked with former students and often they say the work tends to be routine</w:t>
      </w:r>
      <w:r w:rsidR="00285889">
        <w:rPr>
          <w:rFonts w:ascii="Verdana" w:hAnsi="Verdana"/>
          <w:sz w:val="24"/>
          <w:szCs w:val="24"/>
        </w:rPr>
        <w:t xml:space="preserve"> and at times even robotic</w:t>
      </w:r>
      <w:r>
        <w:rPr>
          <w:rFonts w:ascii="Verdana" w:hAnsi="Verdana"/>
          <w:sz w:val="24"/>
          <w:szCs w:val="24"/>
        </w:rPr>
        <w:t>.  If that is so, then how much discretion and judgment are they exercising?</w:t>
      </w:r>
    </w:p>
    <w:p w:rsidR="004629A5" w:rsidRDefault="004629A5" w:rsidP="004629A5">
      <w:pPr>
        <w:rPr>
          <w:rFonts w:ascii="Verdana" w:hAnsi="Verdana"/>
          <w:sz w:val="24"/>
          <w:szCs w:val="24"/>
        </w:rPr>
      </w:pPr>
    </w:p>
    <w:p w:rsidR="004629A5" w:rsidRPr="00046753" w:rsidRDefault="004629A5" w:rsidP="00046753">
      <w:pPr>
        <w:rPr>
          <w:rFonts w:ascii="Verdana" w:hAnsi="Verdana"/>
          <w:sz w:val="24"/>
          <w:szCs w:val="24"/>
        </w:rPr>
      </w:pPr>
    </w:p>
    <w:p w:rsidR="00080D90" w:rsidRPr="00093316" w:rsidRDefault="00080D90" w:rsidP="005679C2">
      <w:pPr>
        <w:pBdr>
          <w:bottom w:val="thinThickThinMediumGap" w:sz="18" w:space="0" w:color="auto"/>
        </w:pBdr>
        <w:rPr>
          <w:rFonts w:ascii="Verdana" w:hAnsi="Verdana"/>
          <w:sz w:val="24"/>
          <w:szCs w:val="24"/>
        </w:rPr>
      </w:pPr>
    </w:p>
    <w:p w:rsidR="005679C2" w:rsidRPr="00A56122" w:rsidRDefault="005679C2" w:rsidP="005679C2">
      <w:pPr>
        <w:pStyle w:val="BodyText"/>
        <w:spacing w:line="240" w:lineRule="auto"/>
        <w:rPr>
          <w:rFonts w:ascii="Verdana" w:hAnsi="Verdana"/>
          <w:i/>
        </w:rPr>
      </w:pPr>
    </w:p>
    <w:p w:rsidR="005679C2" w:rsidRPr="00A56122" w:rsidRDefault="005679C2" w:rsidP="005679C2">
      <w:pPr>
        <w:pStyle w:val="BodyText"/>
        <w:spacing w:line="240" w:lineRule="auto"/>
        <w:rPr>
          <w:rFonts w:ascii="Verdana" w:hAnsi="Verdana"/>
          <w:i/>
        </w:rPr>
      </w:pPr>
      <w:r w:rsidRPr="00A56122">
        <w:rPr>
          <w:rFonts w:ascii="Verdana" w:hAnsi="Verdana"/>
          <w:i/>
        </w:rPr>
        <w:t xml:space="preserve">This essay reflects the opinion of the authors and not necessarily the opinions of The </w:t>
      </w:r>
      <w:smartTag w:uri="urn:schemas-microsoft-com:office:smarttags" w:element="PlaceName">
        <w:r w:rsidRPr="00A56122">
          <w:rPr>
            <w:rFonts w:ascii="Verdana" w:hAnsi="Verdana"/>
            <w:i/>
          </w:rPr>
          <w:t>Pennsylvania</w:t>
        </w:r>
      </w:smartTag>
      <w:r w:rsidRPr="00A56122">
        <w:rPr>
          <w:rFonts w:ascii="Verdana" w:hAnsi="Verdana"/>
          <w:i/>
        </w:rPr>
        <w:t xml:space="preserve"> </w:t>
      </w:r>
      <w:smartTag w:uri="urn:schemas-microsoft-com:office:smarttags" w:element="PlaceType">
        <w:r w:rsidRPr="00A56122">
          <w:rPr>
            <w:rFonts w:ascii="Verdana" w:hAnsi="Verdana"/>
            <w:i/>
          </w:rPr>
          <w:t>State</w:t>
        </w:r>
      </w:smartTag>
      <w:r w:rsidRPr="00A56122">
        <w:rPr>
          <w:rFonts w:ascii="Verdana" w:hAnsi="Verdana"/>
          <w:i/>
        </w:rPr>
        <w:t xml:space="preserve"> University, The American College, or Villanova University.</w:t>
      </w:r>
    </w:p>
    <w:p w:rsidR="005679C2" w:rsidRPr="00A56122" w:rsidRDefault="005679C2" w:rsidP="005679C2">
      <w:pPr>
        <w:pBdr>
          <w:bottom w:val="thinThickThinMediumGap" w:sz="18" w:space="0" w:color="auto"/>
        </w:pBdr>
        <w:rPr>
          <w:rFonts w:ascii="Verdana" w:hAnsi="Verdana"/>
        </w:rPr>
      </w:pPr>
    </w:p>
    <w:p w:rsidR="005679C2" w:rsidRPr="00A56122" w:rsidRDefault="005679C2" w:rsidP="00383ECD">
      <w:pPr>
        <w:rPr>
          <w:rFonts w:ascii="Verdana" w:hAnsi="Verdana" w:cs="Arial"/>
          <w:sz w:val="24"/>
          <w:szCs w:val="24"/>
        </w:rPr>
      </w:pPr>
    </w:p>
    <w:sectPr w:rsidR="005679C2" w:rsidRPr="00A56122"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17C0"/>
    <w:multiLevelType w:val="hybridMultilevel"/>
    <w:tmpl w:val="BE72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902B4"/>
    <w:multiLevelType w:val="hybridMultilevel"/>
    <w:tmpl w:val="A5E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061C9"/>
    <w:multiLevelType w:val="multilevel"/>
    <w:tmpl w:val="3FAAEA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67EF1856"/>
    <w:multiLevelType w:val="hybridMultilevel"/>
    <w:tmpl w:val="C326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DC54AE"/>
    <w:multiLevelType w:val="hybridMultilevel"/>
    <w:tmpl w:val="DE72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11"/>
  </w:num>
  <w:num w:numId="6">
    <w:abstractNumId w:val="6"/>
  </w:num>
  <w:num w:numId="7">
    <w:abstractNumId w:val="7"/>
  </w:num>
  <w:num w:numId="8">
    <w:abstractNumId w:val="4"/>
  </w:num>
  <w:num w:numId="9">
    <w:abstractNumId w:val="12"/>
  </w:num>
  <w:num w:numId="10">
    <w:abstractNumId w:val="10"/>
  </w:num>
  <w:num w:numId="11">
    <w:abstractNumId w:val="3"/>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A627B"/>
    <w:rsid w:val="0001223C"/>
    <w:rsid w:val="00032D82"/>
    <w:rsid w:val="000374C2"/>
    <w:rsid w:val="00043E38"/>
    <w:rsid w:val="00046753"/>
    <w:rsid w:val="00070D4B"/>
    <w:rsid w:val="00080D90"/>
    <w:rsid w:val="00081916"/>
    <w:rsid w:val="00083C89"/>
    <w:rsid w:val="0008518C"/>
    <w:rsid w:val="00093316"/>
    <w:rsid w:val="000A52AA"/>
    <w:rsid w:val="000C0DAE"/>
    <w:rsid w:val="000C51FE"/>
    <w:rsid w:val="000D547E"/>
    <w:rsid w:val="000E2E4F"/>
    <w:rsid w:val="000F37E7"/>
    <w:rsid w:val="001534BA"/>
    <w:rsid w:val="00166500"/>
    <w:rsid w:val="001823C4"/>
    <w:rsid w:val="001912CC"/>
    <w:rsid w:val="001978FB"/>
    <w:rsid w:val="001A1941"/>
    <w:rsid w:val="001A35D6"/>
    <w:rsid w:val="001A523B"/>
    <w:rsid w:val="001A5685"/>
    <w:rsid w:val="001A63DD"/>
    <w:rsid w:val="001B7207"/>
    <w:rsid w:val="001B7AD1"/>
    <w:rsid w:val="001C1384"/>
    <w:rsid w:val="001C320A"/>
    <w:rsid w:val="001C3948"/>
    <w:rsid w:val="001C5C9F"/>
    <w:rsid w:val="002128C4"/>
    <w:rsid w:val="00215FD8"/>
    <w:rsid w:val="002254DA"/>
    <w:rsid w:val="0024677D"/>
    <w:rsid w:val="00251D00"/>
    <w:rsid w:val="002713C6"/>
    <w:rsid w:val="00285889"/>
    <w:rsid w:val="00285D9E"/>
    <w:rsid w:val="0029409E"/>
    <w:rsid w:val="002A35CE"/>
    <w:rsid w:val="002B0A9D"/>
    <w:rsid w:val="002B29A5"/>
    <w:rsid w:val="002F5053"/>
    <w:rsid w:val="00316C9F"/>
    <w:rsid w:val="003259CE"/>
    <w:rsid w:val="00325C01"/>
    <w:rsid w:val="00383ECD"/>
    <w:rsid w:val="00387AD3"/>
    <w:rsid w:val="0039366C"/>
    <w:rsid w:val="00394F33"/>
    <w:rsid w:val="003A627B"/>
    <w:rsid w:val="003C370E"/>
    <w:rsid w:val="003F6FEC"/>
    <w:rsid w:val="00441449"/>
    <w:rsid w:val="004446D5"/>
    <w:rsid w:val="004534FA"/>
    <w:rsid w:val="004629A5"/>
    <w:rsid w:val="00465E6E"/>
    <w:rsid w:val="00471A13"/>
    <w:rsid w:val="004960CF"/>
    <w:rsid w:val="00496266"/>
    <w:rsid w:val="004B6B32"/>
    <w:rsid w:val="004C05A7"/>
    <w:rsid w:val="004D6BFC"/>
    <w:rsid w:val="004E16D3"/>
    <w:rsid w:val="004E7B9C"/>
    <w:rsid w:val="0050716A"/>
    <w:rsid w:val="00547265"/>
    <w:rsid w:val="0055376D"/>
    <w:rsid w:val="00562DDE"/>
    <w:rsid w:val="00564E1A"/>
    <w:rsid w:val="005679C2"/>
    <w:rsid w:val="005877D3"/>
    <w:rsid w:val="005B5E35"/>
    <w:rsid w:val="005B7BA1"/>
    <w:rsid w:val="005C7FC3"/>
    <w:rsid w:val="005F063B"/>
    <w:rsid w:val="00611B75"/>
    <w:rsid w:val="00626CA8"/>
    <w:rsid w:val="00642B98"/>
    <w:rsid w:val="00654AEE"/>
    <w:rsid w:val="006A7CF1"/>
    <w:rsid w:val="006A7E56"/>
    <w:rsid w:val="006B5167"/>
    <w:rsid w:val="006B71B6"/>
    <w:rsid w:val="006F5623"/>
    <w:rsid w:val="00701811"/>
    <w:rsid w:val="00705ED3"/>
    <w:rsid w:val="007069CC"/>
    <w:rsid w:val="00714F76"/>
    <w:rsid w:val="00721587"/>
    <w:rsid w:val="007310E9"/>
    <w:rsid w:val="0073754E"/>
    <w:rsid w:val="00741CC4"/>
    <w:rsid w:val="00743614"/>
    <w:rsid w:val="0075714F"/>
    <w:rsid w:val="00762F72"/>
    <w:rsid w:val="007720CA"/>
    <w:rsid w:val="0078564D"/>
    <w:rsid w:val="007935E9"/>
    <w:rsid w:val="00795EDC"/>
    <w:rsid w:val="007A54C7"/>
    <w:rsid w:val="007B54A0"/>
    <w:rsid w:val="007D30EB"/>
    <w:rsid w:val="007E274D"/>
    <w:rsid w:val="00821DC1"/>
    <w:rsid w:val="00825D4D"/>
    <w:rsid w:val="00830A0B"/>
    <w:rsid w:val="00834103"/>
    <w:rsid w:val="00843D76"/>
    <w:rsid w:val="00847F54"/>
    <w:rsid w:val="00874083"/>
    <w:rsid w:val="008773C8"/>
    <w:rsid w:val="00885921"/>
    <w:rsid w:val="008A054A"/>
    <w:rsid w:val="008B61C5"/>
    <w:rsid w:val="008C3DA5"/>
    <w:rsid w:val="008C4A70"/>
    <w:rsid w:val="008D2071"/>
    <w:rsid w:val="00911D72"/>
    <w:rsid w:val="00952126"/>
    <w:rsid w:val="009552D6"/>
    <w:rsid w:val="009655E6"/>
    <w:rsid w:val="00974768"/>
    <w:rsid w:val="009A0991"/>
    <w:rsid w:val="009A26FD"/>
    <w:rsid w:val="009A2ADF"/>
    <w:rsid w:val="009A7055"/>
    <w:rsid w:val="009F4FF8"/>
    <w:rsid w:val="009F5F85"/>
    <w:rsid w:val="00A0057D"/>
    <w:rsid w:val="00A02E34"/>
    <w:rsid w:val="00A11437"/>
    <w:rsid w:val="00A2604A"/>
    <w:rsid w:val="00A501CA"/>
    <w:rsid w:val="00A56122"/>
    <w:rsid w:val="00A623DC"/>
    <w:rsid w:val="00A66E4B"/>
    <w:rsid w:val="00AB5DEF"/>
    <w:rsid w:val="00AC081E"/>
    <w:rsid w:val="00AE44C0"/>
    <w:rsid w:val="00AE5150"/>
    <w:rsid w:val="00B020F8"/>
    <w:rsid w:val="00B06241"/>
    <w:rsid w:val="00B1448F"/>
    <w:rsid w:val="00B20912"/>
    <w:rsid w:val="00B22B1B"/>
    <w:rsid w:val="00B33841"/>
    <w:rsid w:val="00B47CEE"/>
    <w:rsid w:val="00B524E0"/>
    <w:rsid w:val="00B54E7A"/>
    <w:rsid w:val="00B663AB"/>
    <w:rsid w:val="00B7722F"/>
    <w:rsid w:val="00B91C46"/>
    <w:rsid w:val="00BB6235"/>
    <w:rsid w:val="00BC1DB8"/>
    <w:rsid w:val="00BC303E"/>
    <w:rsid w:val="00BD1C30"/>
    <w:rsid w:val="00BD4859"/>
    <w:rsid w:val="00BD4D82"/>
    <w:rsid w:val="00BF4CC9"/>
    <w:rsid w:val="00BF5636"/>
    <w:rsid w:val="00BF663F"/>
    <w:rsid w:val="00C02A18"/>
    <w:rsid w:val="00C0326A"/>
    <w:rsid w:val="00C04A39"/>
    <w:rsid w:val="00C06C9A"/>
    <w:rsid w:val="00C14B68"/>
    <w:rsid w:val="00C17B64"/>
    <w:rsid w:val="00C25606"/>
    <w:rsid w:val="00C40DDB"/>
    <w:rsid w:val="00C45109"/>
    <w:rsid w:val="00C51E7A"/>
    <w:rsid w:val="00C5207C"/>
    <w:rsid w:val="00C56176"/>
    <w:rsid w:val="00C57186"/>
    <w:rsid w:val="00C7386E"/>
    <w:rsid w:val="00C83508"/>
    <w:rsid w:val="00C86325"/>
    <w:rsid w:val="00CA4259"/>
    <w:rsid w:val="00CB3BFD"/>
    <w:rsid w:val="00CB6559"/>
    <w:rsid w:val="00CB7FD0"/>
    <w:rsid w:val="00CD0E7F"/>
    <w:rsid w:val="00CF567E"/>
    <w:rsid w:val="00CF60F5"/>
    <w:rsid w:val="00D005BC"/>
    <w:rsid w:val="00D04C30"/>
    <w:rsid w:val="00D10237"/>
    <w:rsid w:val="00D15B07"/>
    <w:rsid w:val="00D46EED"/>
    <w:rsid w:val="00D54EF4"/>
    <w:rsid w:val="00D552C9"/>
    <w:rsid w:val="00D7299A"/>
    <w:rsid w:val="00D749E0"/>
    <w:rsid w:val="00D96CB6"/>
    <w:rsid w:val="00DC6A24"/>
    <w:rsid w:val="00DD6421"/>
    <w:rsid w:val="00DE6A43"/>
    <w:rsid w:val="00DF0BCE"/>
    <w:rsid w:val="00E0278C"/>
    <w:rsid w:val="00E0530E"/>
    <w:rsid w:val="00E271EA"/>
    <w:rsid w:val="00E318EE"/>
    <w:rsid w:val="00E52ACB"/>
    <w:rsid w:val="00E656F7"/>
    <w:rsid w:val="00E6651F"/>
    <w:rsid w:val="00E81155"/>
    <w:rsid w:val="00EA73DD"/>
    <w:rsid w:val="00ED3830"/>
    <w:rsid w:val="00ED4CA7"/>
    <w:rsid w:val="00EE6A29"/>
    <w:rsid w:val="00EF3CB2"/>
    <w:rsid w:val="00F0140C"/>
    <w:rsid w:val="00F37BB7"/>
    <w:rsid w:val="00F7237C"/>
    <w:rsid w:val="00F8568F"/>
    <w:rsid w:val="00F95297"/>
    <w:rsid w:val="00FA305E"/>
    <w:rsid w:val="00FB06EB"/>
    <w:rsid w:val="00FC520E"/>
    <w:rsid w:val="00FC5D0E"/>
    <w:rsid w:val="00FC7D59"/>
    <w:rsid w:val="00FE0D12"/>
    <w:rsid w:val="00FF4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2">
    <w:name w:val="heading 2"/>
    <w:basedOn w:val="Normal"/>
    <w:next w:val="Normal"/>
    <w:link w:val="Heading2Char"/>
    <w:uiPriority w:val="9"/>
    <w:semiHidden/>
    <w:unhideWhenUsed/>
    <w:qFormat/>
    <w:rsid w:val="00E271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271E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271EA"/>
    <w:rPr>
      <w:b/>
      <w:bCs/>
    </w:rPr>
  </w:style>
</w:styles>
</file>

<file path=word/webSettings.xml><?xml version="1.0" encoding="utf-8"?>
<w:webSettings xmlns:r="http://schemas.openxmlformats.org/officeDocument/2006/relationships" xmlns:w="http://schemas.openxmlformats.org/wordprocessingml/2006/main">
  <w:divs>
    <w:div w:id="32049545">
      <w:bodyDiv w:val="1"/>
      <w:marLeft w:val="0"/>
      <w:marRight w:val="0"/>
      <w:marTop w:val="0"/>
      <w:marBottom w:val="0"/>
      <w:divBdr>
        <w:top w:val="none" w:sz="0" w:space="0" w:color="auto"/>
        <w:left w:val="none" w:sz="0" w:space="0" w:color="auto"/>
        <w:bottom w:val="none" w:sz="0" w:space="0" w:color="auto"/>
        <w:right w:val="none" w:sz="0" w:space="0" w:color="auto"/>
      </w:divBdr>
      <w:divsChild>
        <w:div w:id="1370647850">
          <w:marLeft w:val="0"/>
          <w:marRight w:val="0"/>
          <w:marTop w:val="0"/>
          <w:marBottom w:val="0"/>
          <w:divBdr>
            <w:top w:val="none" w:sz="0" w:space="0" w:color="auto"/>
            <w:left w:val="none" w:sz="0" w:space="0" w:color="auto"/>
            <w:bottom w:val="none" w:sz="0" w:space="0" w:color="auto"/>
            <w:right w:val="none" w:sz="0" w:space="0" w:color="auto"/>
          </w:divBdr>
          <w:divsChild>
            <w:div w:id="1464808260">
              <w:marLeft w:val="0"/>
              <w:marRight w:val="0"/>
              <w:marTop w:val="0"/>
              <w:marBottom w:val="0"/>
              <w:divBdr>
                <w:top w:val="none" w:sz="0" w:space="0" w:color="auto"/>
                <w:left w:val="none" w:sz="0" w:space="0" w:color="auto"/>
                <w:bottom w:val="none" w:sz="0" w:space="0" w:color="auto"/>
                <w:right w:val="none" w:sz="0" w:space="0" w:color="auto"/>
              </w:divBdr>
              <w:divsChild>
                <w:div w:id="1233271157">
                  <w:marLeft w:val="0"/>
                  <w:marRight w:val="0"/>
                  <w:marTop w:val="0"/>
                  <w:marBottom w:val="0"/>
                  <w:divBdr>
                    <w:top w:val="none" w:sz="0" w:space="0" w:color="auto"/>
                    <w:left w:val="none" w:sz="0" w:space="0" w:color="auto"/>
                    <w:bottom w:val="none" w:sz="0" w:space="0" w:color="auto"/>
                    <w:right w:val="none" w:sz="0" w:space="0" w:color="auto"/>
                  </w:divBdr>
                  <w:divsChild>
                    <w:div w:id="2077316831">
                      <w:marLeft w:val="272"/>
                      <w:marRight w:val="0"/>
                      <w:marTop w:val="136"/>
                      <w:marBottom w:val="136"/>
                      <w:divBdr>
                        <w:top w:val="none" w:sz="0" w:space="0" w:color="auto"/>
                        <w:left w:val="none" w:sz="0" w:space="0" w:color="auto"/>
                        <w:bottom w:val="none" w:sz="0" w:space="0" w:color="auto"/>
                        <w:right w:val="none" w:sz="0" w:space="0" w:color="auto"/>
                      </w:divBdr>
                      <w:divsChild>
                        <w:div w:id="502940223">
                          <w:marLeft w:val="0"/>
                          <w:marRight w:val="0"/>
                          <w:marTop w:val="0"/>
                          <w:marBottom w:val="0"/>
                          <w:divBdr>
                            <w:top w:val="none" w:sz="0" w:space="0" w:color="auto"/>
                            <w:left w:val="none" w:sz="0" w:space="0" w:color="auto"/>
                            <w:bottom w:val="none" w:sz="0" w:space="0" w:color="auto"/>
                            <w:right w:val="none" w:sz="0" w:space="0" w:color="auto"/>
                          </w:divBdr>
                          <w:divsChild>
                            <w:div w:id="518395392">
                              <w:marLeft w:val="0"/>
                              <w:marRight w:val="0"/>
                              <w:marTop w:val="0"/>
                              <w:marBottom w:val="0"/>
                              <w:divBdr>
                                <w:top w:val="none" w:sz="0" w:space="0" w:color="auto"/>
                                <w:left w:val="none" w:sz="0" w:space="0" w:color="auto"/>
                                <w:bottom w:val="none" w:sz="0" w:space="0" w:color="auto"/>
                                <w:right w:val="none" w:sz="0" w:space="0" w:color="auto"/>
                              </w:divBdr>
                              <w:divsChild>
                                <w:div w:id="1219829446">
                                  <w:marLeft w:val="0"/>
                                  <w:marRight w:val="0"/>
                                  <w:marTop w:val="0"/>
                                  <w:marBottom w:val="0"/>
                                  <w:divBdr>
                                    <w:top w:val="none" w:sz="0" w:space="0" w:color="auto"/>
                                    <w:left w:val="none" w:sz="0" w:space="0" w:color="auto"/>
                                    <w:bottom w:val="none" w:sz="0" w:space="0" w:color="auto"/>
                                    <w:right w:val="none" w:sz="0" w:space="0" w:color="auto"/>
                                  </w:divBdr>
                                  <w:divsChild>
                                    <w:div w:id="1077050008">
                                      <w:marLeft w:val="0"/>
                                      <w:marRight w:val="0"/>
                                      <w:marTop w:val="0"/>
                                      <w:marBottom w:val="0"/>
                                      <w:divBdr>
                                        <w:top w:val="none" w:sz="0" w:space="0" w:color="auto"/>
                                        <w:left w:val="none" w:sz="0" w:space="0" w:color="auto"/>
                                        <w:bottom w:val="none" w:sz="0" w:space="0" w:color="auto"/>
                                        <w:right w:val="none" w:sz="0" w:space="0" w:color="auto"/>
                                      </w:divBdr>
                                      <w:divsChild>
                                        <w:div w:id="1777678952">
                                          <w:marLeft w:val="0"/>
                                          <w:marRight w:val="0"/>
                                          <w:marTop w:val="0"/>
                                          <w:marBottom w:val="0"/>
                                          <w:divBdr>
                                            <w:top w:val="none" w:sz="0" w:space="0" w:color="auto"/>
                                            <w:left w:val="none" w:sz="0" w:space="0" w:color="auto"/>
                                            <w:bottom w:val="none" w:sz="0" w:space="0" w:color="auto"/>
                                            <w:right w:val="none" w:sz="0" w:space="0" w:color="auto"/>
                                          </w:divBdr>
                                          <w:divsChild>
                                            <w:div w:id="2137484675">
                                              <w:marLeft w:val="0"/>
                                              <w:marRight w:val="0"/>
                                              <w:marTop w:val="0"/>
                                              <w:marBottom w:val="0"/>
                                              <w:divBdr>
                                                <w:top w:val="none" w:sz="0" w:space="0" w:color="auto"/>
                                                <w:left w:val="none" w:sz="0" w:space="0" w:color="auto"/>
                                                <w:bottom w:val="none" w:sz="0" w:space="0" w:color="auto"/>
                                                <w:right w:val="none" w:sz="0" w:space="0" w:color="auto"/>
                                              </w:divBdr>
                                              <w:divsChild>
                                                <w:div w:id="1682463497">
                                                  <w:marLeft w:val="0"/>
                                                  <w:marRight w:val="0"/>
                                                  <w:marTop w:val="0"/>
                                                  <w:marBottom w:val="0"/>
                                                  <w:divBdr>
                                                    <w:top w:val="none" w:sz="0" w:space="0" w:color="auto"/>
                                                    <w:left w:val="none" w:sz="0" w:space="0" w:color="auto"/>
                                                    <w:bottom w:val="none" w:sz="0" w:space="0" w:color="auto"/>
                                                    <w:right w:val="none" w:sz="0" w:space="0" w:color="auto"/>
                                                  </w:divBdr>
                                                  <w:divsChild>
                                                    <w:div w:id="7762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caleb-newquist/plaintiffs-file-brief-in_b_456151.html" TargetMode="External"/><Relationship Id="rId13" Type="http://schemas.openxmlformats.org/officeDocument/2006/relationships/hyperlink" Target="http://pcaobus.org/Standards/Auditing/Pages/Auditing_Standard_10.aspx" TargetMode="External"/><Relationship Id="rId3" Type="http://schemas.openxmlformats.org/officeDocument/2006/relationships/settings" Target="settings.xml"/><Relationship Id="rId7" Type="http://schemas.openxmlformats.org/officeDocument/2006/relationships/hyperlink" Target="file:///C:\Users\Owner\AppData\Local\Microsoft\Windows\Temporary%20Internet%20Files\Content.Outlook\C26W4D00\francine%20mckenna%20california%20overtime" TargetMode="External"/><Relationship Id="rId12" Type="http://schemas.openxmlformats.org/officeDocument/2006/relationships/hyperlink" Target="http://www.aicpa.org/Research/Standards/CodeofConduct/Pages/et_200.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etheauditors.com/2007/10/25/pwc-hit-with-overtime-lawsuit-wave/" TargetMode="External"/><Relationship Id="rId11" Type="http://schemas.openxmlformats.org/officeDocument/2006/relationships/hyperlink" Target="http://www.flsa.com/coverage.html" TargetMode="External"/><Relationship Id="rId5" Type="http://schemas.openxmlformats.org/officeDocument/2006/relationships/hyperlink" Target="http://www.businessweek.com/magazine/content/07_40/b4052001.htm" TargetMode="External"/><Relationship Id="rId15" Type="http://schemas.openxmlformats.org/officeDocument/2006/relationships/fontTable" Target="fontTable.xml"/><Relationship Id="rId10" Type="http://schemas.openxmlformats.org/officeDocument/2006/relationships/hyperlink" Target="http://steeplemedia.com/blogs/krupo/archive/2008/04/28/three-of-canada-s-big-four-ca-firms-to-pay-overtime.aspx" TargetMode="External"/><Relationship Id="rId4" Type="http://schemas.openxmlformats.org/officeDocument/2006/relationships/webSettings" Target="webSettings.xml"/><Relationship Id="rId9" Type="http://schemas.openxmlformats.org/officeDocument/2006/relationships/hyperlink" Target="http://flsa.blogspot.com/2007/11/another-accounting-firm-hit-with.html" TargetMode="External"/><Relationship Id="rId14" Type="http://schemas.openxmlformats.org/officeDocument/2006/relationships/hyperlink" Target="http://retheauditors.com/2011/06/20/say-anything-the-big-4-defense-of-overtime-exem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6</cp:revision>
  <cp:lastPrinted>2011-09-26T16:31:00Z</cp:lastPrinted>
  <dcterms:created xsi:type="dcterms:W3CDTF">2011-10-02T17:25:00Z</dcterms:created>
  <dcterms:modified xsi:type="dcterms:W3CDTF">2011-10-02T17:42:00Z</dcterms:modified>
</cp:coreProperties>
</file>