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155" w:rsidRDefault="006E78DF" w:rsidP="00E81155">
      <w:pPr>
        <w:rPr>
          <w:rFonts w:ascii="Arial" w:hAnsi="Arial" w:cs="Arial"/>
          <w:b/>
          <w:sz w:val="28"/>
          <w:szCs w:val="28"/>
        </w:rPr>
      </w:pPr>
      <w:r>
        <w:rPr>
          <w:rFonts w:ascii="Arial" w:hAnsi="Arial" w:cs="Arial"/>
          <w:b/>
          <w:sz w:val="28"/>
          <w:szCs w:val="28"/>
        </w:rPr>
        <w:t>TRUST NO ONE, PARTICULARLY NOT</w:t>
      </w:r>
      <w:r w:rsidR="00C91375">
        <w:rPr>
          <w:rFonts w:ascii="Arial" w:hAnsi="Arial" w:cs="Arial"/>
          <w:b/>
          <w:sz w:val="28"/>
          <w:szCs w:val="28"/>
        </w:rPr>
        <w:t xml:space="preserve"> GROUPON’S ACCOUNTANTS</w:t>
      </w:r>
    </w:p>
    <w:p w:rsidR="00E81155" w:rsidRDefault="00E81155" w:rsidP="00E81155">
      <w:pPr>
        <w:rPr>
          <w:rFonts w:ascii="Arial" w:hAnsi="Arial" w:cs="Arial"/>
          <w:b/>
          <w:i/>
          <w:sz w:val="24"/>
          <w:szCs w:val="24"/>
        </w:rPr>
      </w:pPr>
      <w:r w:rsidRPr="0087771A">
        <w:rPr>
          <w:rFonts w:ascii="Arial" w:hAnsi="Arial" w:cs="Arial"/>
          <w:b/>
          <w:i/>
          <w:sz w:val="24"/>
          <w:szCs w:val="24"/>
        </w:rPr>
        <w:t>Anthony H. Catanach Jr. and J. Edward Ketz</w:t>
      </w:r>
    </w:p>
    <w:p w:rsidR="00E81155" w:rsidRDefault="00C91375" w:rsidP="00E81155">
      <w:pPr>
        <w:rPr>
          <w:rFonts w:ascii="Arial" w:hAnsi="Arial" w:cs="Arial"/>
          <w:b/>
          <w:i/>
          <w:sz w:val="24"/>
          <w:szCs w:val="24"/>
        </w:rPr>
      </w:pPr>
      <w:r>
        <w:rPr>
          <w:rFonts w:ascii="Arial" w:hAnsi="Arial" w:cs="Arial"/>
          <w:b/>
          <w:i/>
          <w:sz w:val="24"/>
          <w:szCs w:val="24"/>
        </w:rPr>
        <w:t>Grumpy Old Accountants</w:t>
      </w:r>
    </w:p>
    <w:p w:rsidR="00DA78CD" w:rsidRDefault="00DA78CD">
      <w:pPr>
        <w:rPr>
          <w:rFonts w:ascii="Verdana" w:hAnsi="Verdana" w:cs="Arial"/>
          <w:sz w:val="24"/>
          <w:szCs w:val="24"/>
        </w:rPr>
      </w:pPr>
    </w:p>
    <w:p w:rsidR="004D3D8E" w:rsidRDefault="00CB321A" w:rsidP="00940DA8">
      <w:pPr>
        <w:rPr>
          <w:rFonts w:ascii="Verdana" w:hAnsi="Verdana"/>
          <w:sz w:val="24"/>
          <w:szCs w:val="24"/>
        </w:rPr>
      </w:pPr>
      <w:r>
        <w:rPr>
          <w:rFonts w:ascii="Verdana" w:hAnsi="Verdana"/>
          <w:sz w:val="24"/>
          <w:szCs w:val="24"/>
        </w:rPr>
        <w:t xml:space="preserve">“Trust no one,” was the advice given by Deep Throat to Fox </w:t>
      </w:r>
      <w:proofErr w:type="spellStart"/>
      <w:r>
        <w:rPr>
          <w:rFonts w:ascii="Verdana" w:hAnsi="Verdana"/>
          <w:sz w:val="24"/>
          <w:szCs w:val="24"/>
        </w:rPr>
        <w:t>Mulder</w:t>
      </w:r>
      <w:proofErr w:type="spellEnd"/>
      <w:r>
        <w:rPr>
          <w:rFonts w:ascii="Verdana" w:hAnsi="Verdana"/>
          <w:sz w:val="24"/>
          <w:szCs w:val="24"/>
        </w:rPr>
        <w:t xml:space="preserve"> in the X-Files television series.  The advice seems particularly appropriate to Groupon’</w:t>
      </w:r>
      <w:r w:rsidR="00694AA8">
        <w:rPr>
          <w:rFonts w:ascii="Verdana" w:hAnsi="Verdana"/>
          <w:sz w:val="24"/>
          <w:szCs w:val="24"/>
        </w:rPr>
        <w:t xml:space="preserve">s </w:t>
      </w:r>
      <w:r>
        <w:rPr>
          <w:rFonts w:ascii="Verdana" w:hAnsi="Verdana"/>
          <w:sz w:val="24"/>
          <w:szCs w:val="24"/>
        </w:rPr>
        <w:t xml:space="preserve">accountants. </w:t>
      </w:r>
      <w:r w:rsidR="006E78DF">
        <w:rPr>
          <w:rFonts w:ascii="Verdana" w:hAnsi="Verdana"/>
          <w:sz w:val="24"/>
          <w:szCs w:val="24"/>
        </w:rPr>
        <w:t xml:space="preserve">Recently, much has been made of Groupon’s use of ACSOI (adjusted consolidated segment operating income) for pro-forma reporting purposes, and its </w:t>
      </w:r>
      <w:hyperlink r:id="rId5" w:history="1">
        <w:r w:rsidR="006E78DF" w:rsidRPr="006E78DF">
          <w:rPr>
            <w:rStyle w:val="Hyperlink"/>
            <w:rFonts w:ascii="Verdana" w:hAnsi="Verdana"/>
            <w:sz w:val="24"/>
            <w:szCs w:val="24"/>
          </w:rPr>
          <w:t>recent abandonment</w:t>
        </w:r>
      </w:hyperlink>
      <w:r w:rsidR="006E78DF">
        <w:rPr>
          <w:rFonts w:ascii="Verdana" w:hAnsi="Verdana"/>
          <w:sz w:val="24"/>
          <w:szCs w:val="24"/>
        </w:rPr>
        <w:t xml:space="preserve"> of the metric in the face of SEC scrutiny.  </w:t>
      </w:r>
      <w:r w:rsidR="004D3D8E">
        <w:rPr>
          <w:rFonts w:ascii="Verdana" w:hAnsi="Verdana"/>
          <w:sz w:val="24"/>
          <w:szCs w:val="24"/>
        </w:rPr>
        <w:t>But there are greater mysteries within Groupon’s alien reports.</w:t>
      </w:r>
    </w:p>
    <w:p w:rsidR="004D3D8E" w:rsidRDefault="004D3D8E" w:rsidP="00940DA8">
      <w:pPr>
        <w:rPr>
          <w:rFonts w:ascii="Verdana" w:hAnsi="Verdana"/>
          <w:sz w:val="24"/>
          <w:szCs w:val="24"/>
        </w:rPr>
      </w:pPr>
    </w:p>
    <w:p w:rsidR="00F65635" w:rsidRDefault="004D3D8E" w:rsidP="00940DA8">
      <w:pPr>
        <w:rPr>
          <w:rFonts w:ascii="Verdana" w:hAnsi="Verdana"/>
          <w:sz w:val="24"/>
          <w:szCs w:val="24"/>
        </w:rPr>
      </w:pPr>
      <w:r>
        <w:rPr>
          <w:rFonts w:ascii="Verdana" w:hAnsi="Verdana"/>
          <w:sz w:val="24"/>
          <w:szCs w:val="24"/>
        </w:rPr>
        <w:t xml:space="preserve">We previously discussed the shortcomings in the reported balance sheet, income statement, and cash flow statement, as well as complaining about ACSOI  </w:t>
      </w:r>
      <w:r w:rsidR="00F65635">
        <w:rPr>
          <w:rFonts w:ascii="Verdana" w:hAnsi="Verdana"/>
          <w:sz w:val="24"/>
          <w:szCs w:val="24"/>
        </w:rPr>
        <w:t xml:space="preserve">(see </w:t>
      </w:r>
      <w:hyperlink r:id="rId6" w:history="1">
        <w:r w:rsidR="00F65635" w:rsidRPr="00F65635">
          <w:rPr>
            <w:rStyle w:val="Hyperlink"/>
            <w:rFonts w:ascii="Verdana" w:hAnsi="Verdana"/>
            <w:sz w:val="24"/>
            <w:szCs w:val="24"/>
          </w:rPr>
          <w:t>Groupon: Comedy or Drama?</w:t>
        </w:r>
      </w:hyperlink>
      <w:r>
        <w:t>)</w:t>
      </w:r>
      <w:r w:rsidR="00A21E7A">
        <w:t>.</w:t>
      </w:r>
      <w:r w:rsidR="00F65635">
        <w:rPr>
          <w:rFonts w:ascii="Verdana" w:hAnsi="Verdana"/>
          <w:sz w:val="24"/>
          <w:szCs w:val="24"/>
        </w:rPr>
        <w:t xml:space="preserve"> </w:t>
      </w:r>
      <w:r>
        <w:rPr>
          <w:rFonts w:ascii="Verdana" w:hAnsi="Verdana"/>
          <w:sz w:val="24"/>
          <w:szCs w:val="24"/>
        </w:rPr>
        <w:t xml:space="preserve">  We added that investors who utilized this metric were foolish but we</w:t>
      </w:r>
      <w:r w:rsidR="008F5B68">
        <w:rPr>
          <w:rFonts w:ascii="Verdana" w:hAnsi="Verdana"/>
          <w:sz w:val="24"/>
          <w:szCs w:val="24"/>
        </w:rPr>
        <w:t xml:space="preserve"> </w:t>
      </w:r>
      <w:r w:rsidR="006F2885">
        <w:rPr>
          <w:rFonts w:ascii="Verdana" w:hAnsi="Verdana"/>
          <w:sz w:val="24"/>
          <w:szCs w:val="24"/>
        </w:rPr>
        <w:t xml:space="preserve">had </w:t>
      </w:r>
      <w:r>
        <w:rPr>
          <w:rFonts w:ascii="Verdana" w:hAnsi="Verdana"/>
          <w:sz w:val="24"/>
          <w:szCs w:val="24"/>
        </w:rPr>
        <w:t xml:space="preserve">no wish to prevent them from experiencing the consequences of their folly (see </w:t>
      </w:r>
      <w:hyperlink r:id="rId7" w:history="1">
        <w:r w:rsidR="00F65635" w:rsidRPr="00F65635">
          <w:rPr>
            <w:rStyle w:val="Hyperlink"/>
            <w:rFonts w:ascii="Verdana" w:hAnsi="Verdana"/>
            <w:sz w:val="24"/>
            <w:szCs w:val="24"/>
          </w:rPr>
          <w:t>Should the SEC Protect Groupon Investors from CSOI?</w:t>
        </w:r>
      </w:hyperlink>
      <w:r w:rsidR="00F65635">
        <w:rPr>
          <w:rFonts w:ascii="Verdana" w:hAnsi="Verdana"/>
          <w:sz w:val="24"/>
          <w:szCs w:val="24"/>
        </w:rPr>
        <w:t>).</w:t>
      </w:r>
      <w:r>
        <w:rPr>
          <w:rFonts w:ascii="Verdana" w:hAnsi="Verdana"/>
          <w:sz w:val="24"/>
          <w:szCs w:val="24"/>
        </w:rPr>
        <w:t xml:space="preserve">  We expand these essays to discuss some problems in the accounting methods employed by Groupon.</w:t>
      </w:r>
    </w:p>
    <w:p w:rsidR="00F65635" w:rsidRDefault="00F65635" w:rsidP="00940DA8">
      <w:pPr>
        <w:rPr>
          <w:rFonts w:ascii="Verdana" w:hAnsi="Verdana"/>
          <w:sz w:val="24"/>
          <w:szCs w:val="24"/>
        </w:rPr>
      </w:pPr>
    </w:p>
    <w:p w:rsidR="003B6E6E" w:rsidRDefault="00F65635" w:rsidP="003B6E6E">
      <w:pPr>
        <w:rPr>
          <w:rFonts w:ascii="Verdana" w:hAnsi="Verdana"/>
          <w:sz w:val="24"/>
          <w:szCs w:val="24"/>
        </w:rPr>
      </w:pPr>
      <w:r>
        <w:rPr>
          <w:rFonts w:ascii="Verdana" w:hAnsi="Verdana"/>
          <w:sz w:val="24"/>
          <w:szCs w:val="24"/>
        </w:rPr>
        <w:t>No one can dispute the lack of liquidity and high leverage that drive the Altman Z into negative territory, but isn’</w:t>
      </w:r>
      <w:r w:rsidR="004D1C9B">
        <w:rPr>
          <w:rFonts w:ascii="Verdana" w:hAnsi="Verdana"/>
          <w:sz w:val="24"/>
          <w:szCs w:val="24"/>
        </w:rPr>
        <w:t>t that why this young</w:t>
      </w:r>
      <w:r>
        <w:rPr>
          <w:rFonts w:ascii="Verdana" w:hAnsi="Verdana"/>
          <w:sz w:val="24"/>
          <w:szCs w:val="24"/>
        </w:rPr>
        <w:t xml:space="preserve"> Company needs capital?  And who can really blame the Company for trying to paint the best possible picture for itself </w:t>
      </w:r>
      <w:r w:rsidR="0039799F">
        <w:rPr>
          <w:rFonts w:ascii="Verdana" w:hAnsi="Verdana"/>
          <w:sz w:val="24"/>
          <w:szCs w:val="24"/>
        </w:rPr>
        <w:t xml:space="preserve">with its ACSOI metric </w:t>
      </w:r>
      <w:r>
        <w:rPr>
          <w:rFonts w:ascii="Verdana" w:hAnsi="Verdana"/>
          <w:sz w:val="24"/>
          <w:szCs w:val="24"/>
        </w:rPr>
        <w:t>as it tries to sell stock</w:t>
      </w:r>
      <w:r w:rsidR="00694AA8">
        <w:rPr>
          <w:rFonts w:ascii="Verdana" w:hAnsi="Verdana"/>
          <w:sz w:val="24"/>
          <w:szCs w:val="24"/>
        </w:rPr>
        <w:t>, particular with its net losses and weak cash flows</w:t>
      </w:r>
      <w:r>
        <w:rPr>
          <w:rFonts w:ascii="Verdana" w:hAnsi="Verdana"/>
          <w:sz w:val="24"/>
          <w:szCs w:val="24"/>
        </w:rPr>
        <w:t>?  What really trouble</w:t>
      </w:r>
      <w:r w:rsidR="0039799F">
        <w:rPr>
          <w:rFonts w:ascii="Verdana" w:hAnsi="Verdana"/>
          <w:sz w:val="24"/>
          <w:szCs w:val="24"/>
        </w:rPr>
        <w:t>s</w:t>
      </w:r>
      <w:r>
        <w:rPr>
          <w:rFonts w:ascii="Verdana" w:hAnsi="Verdana"/>
          <w:sz w:val="24"/>
          <w:szCs w:val="24"/>
        </w:rPr>
        <w:t xml:space="preserve"> us though, is the deafening silence </w:t>
      </w:r>
      <w:r w:rsidR="004D1C9B">
        <w:rPr>
          <w:rFonts w:ascii="Verdana" w:hAnsi="Verdana"/>
          <w:sz w:val="24"/>
          <w:szCs w:val="24"/>
        </w:rPr>
        <w:t xml:space="preserve">in the accounting, auditing, and investment communities </w:t>
      </w:r>
      <w:r>
        <w:rPr>
          <w:rFonts w:ascii="Verdana" w:hAnsi="Verdana"/>
          <w:sz w:val="24"/>
          <w:szCs w:val="24"/>
        </w:rPr>
        <w:t xml:space="preserve">about </w:t>
      </w:r>
      <w:r w:rsidR="0039799F">
        <w:rPr>
          <w:rFonts w:ascii="Verdana" w:hAnsi="Verdana"/>
          <w:sz w:val="24"/>
          <w:szCs w:val="24"/>
        </w:rPr>
        <w:t xml:space="preserve">the Company’s </w:t>
      </w:r>
      <w:r w:rsidR="004D1C9B">
        <w:rPr>
          <w:rFonts w:ascii="Verdana" w:hAnsi="Verdana"/>
          <w:sz w:val="24"/>
          <w:szCs w:val="24"/>
        </w:rPr>
        <w:t xml:space="preserve">questionable basic </w:t>
      </w:r>
      <w:r w:rsidR="0039799F">
        <w:rPr>
          <w:rFonts w:ascii="Verdana" w:hAnsi="Verdana"/>
          <w:sz w:val="24"/>
          <w:szCs w:val="24"/>
        </w:rPr>
        <w:t>accounting practices</w:t>
      </w:r>
      <w:r w:rsidR="00694AA8">
        <w:rPr>
          <w:rFonts w:ascii="Verdana" w:hAnsi="Verdana"/>
          <w:sz w:val="24"/>
          <w:szCs w:val="24"/>
        </w:rPr>
        <w:t xml:space="preserve"> and lack of internal reporting controls</w:t>
      </w:r>
      <w:r w:rsidR="0039799F">
        <w:rPr>
          <w:rFonts w:ascii="Verdana" w:hAnsi="Verdana"/>
          <w:sz w:val="24"/>
          <w:szCs w:val="24"/>
        </w:rPr>
        <w:t xml:space="preserve">. </w:t>
      </w:r>
      <w:r>
        <w:rPr>
          <w:rFonts w:ascii="Verdana" w:hAnsi="Verdana"/>
          <w:sz w:val="24"/>
          <w:szCs w:val="24"/>
        </w:rPr>
        <w:t xml:space="preserve"> </w:t>
      </w:r>
    </w:p>
    <w:p w:rsidR="003B6E6E" w:rsidRDefault="003B6E6E" w:rsidP="003B6E6E">
      <w:pPr>
        <w:rPr>
          <w:rFonts w:ascii="Verdana" w:hAnsi="Verdana"/>
          <w:sz w:val="24"/>
          <w:szCs w:val="24"/>
        </w:rPr>
      </w:pPr>
    </w:p>
    <w:p w:rsidR="003B6E6E" w:rsidRDefault="003B6E6E" w:rsidP="003B6E6E">
      <w:pPr>
        <w:rPr>
          <w:rFonts w:ascii="Verdana" w:hAnsi="Verdana"/>
          <w:sz w:val="24"/>
          <w:szCs w:val="24"/>
        </w:rPr>
      </w:pPr>
      <w:r w:rsidRPr="004C7821">
        <w:rPr>
          <w:rFonts w:ascii="Verdana" w:hAnsi="Verdana"/>
          <w:b/>
          <w:sz w:val="24"/>
          <w:szCs w:val="24"/>
        </w:rPr>
        <w:t>Let’s start with revenue.</w:t>
      </w:r>
      <w:r>
        <w:rPr>
          <w:rFonts w:ascii="Verdana" w:hAnsi="Verdana"/>
          <w:sz w:val="24"/>
          <w:szCs w:val="24"/>
        </w:rPr>
        <w:t xml:space="preserve">  According to its</w:t>
      </w:r>
      <w:r w:rsidR="00694AA8">
        <w:rPr>
          <w:rFonts w:ascii="Verdana" w:hAnsi="Verdana"/>
          <w:sz w:val="24"/>
          <w:szCs w:val="24"/>
        </w:rPr>
        <w:t xml:space="preserve"> amended</w:t>
      </w:r>
      <w:r>
        <w:rPr>
          <w:rFonts w:ascii="Verdana" w:hAnsi="Verdana"/>
          <w:sz w:val="24"/>
          <w:szCs w:val="24"/>
        </w:rPr>
        <w:t xml:space="preserve"> S-1 financial statement notes, Groupon:</w:t>
      </w:r>
    </w:p>
    <w:p w:rsidR="003B6E6E" w:rsidRDefault="003B6E6E" w:rsidP="003B6E6E">
      <w:pPr>
        <w:rPr>
          <w:rFonts w:ascii="Verdana" w:hAnsi="Verdana"/>
          <w:sz w:val="24"/>
          <w:szCs w:val="24"/>
        </w:rPr>
      </w:pPr>
    </w:p>
    <w:p w:rsidR="003B6E6E" w:rsidRPr="003B6E6E" w:rsidRDefault="003B6E6E" w:rsidP="003B6E6E">
      <w:pPr>
        <w:ind w:left="720" w:right="720"/>
        <w:rPr>
          <w:rFonts w:ascii="Verdana" w:hAnsi="Verdana"/>
          <w:i/>
          <w:sz w:val="24"/>
          <w:szCs w:val="24"/>
        </w:rPr>
      </w:pPr>
      <w:r>
        <w:rPr>
          <w:rFonts w:ascii="Verdana" w:hAnsi="Verdana"/>
          <w:i/>
          <w:sz w:val="24"/>
          <w:szCs w:val="24"/>
        </w:rPr>
        <w:t xml:space="preserve">Records the gross amount it receives from </w:t>
      </w:r>
      <w:proofErr w:type="spellStart"/>
      <w:r>
        <w:rPr>
          <w:rFonts w:ascii="Verdana" w:hAnsi="Verdana"/>
          <w:i/>
          <w:sz w:val="24"/>
          <w:szCs w:val="24"/>
        </w:rPr>
        <w:t>Groupons</w:t>
      </w:r>
      <w:proofErr w:type="spellEnd"/>
      <w:r>
        <w:rPr>
          <w:rFonts w:ascii="Verdana" w:hAnsi="Verdana"/>
          <w:i/>
          <w:sz w:val="24"/>
          <w:szCs w:val="24"/>
        </w:rPr>
        <w:t xml:space="preserve">, excluding taxes where applicable, as the Company is the </w:t>
      </w:r>
      <w:r w:rsidRPr="003B6E6E">
        <w:rPr>
          <w:rFonts w:ascii="Verdana" w:hAnsi="Verdana"/>
          <w:b/>
          <w:i/>
          <w:sz w:val="24"/>
          <w:szCs w:val="24"/>
        </w:rPr>
        <w:t>primary obligor in the transaction</w:t>
      </w:r>
      <w:r>
        <w:rPr>
          <w:rFonts w:ascii="Verdana" w:hAnsi="Verdana"/>
          <w:i/>
          <w:sz w:val="24"/>
          <w:szCs w:val="24"/>
        </w:rPr>
        <w:t>, and records an allowance for estimated customer refunds on total revenue primarily based on historical experience…the Company also records costs related to the associated obligation to redeem the award credits granted as issuance as an offset to revenue.</w:t>
      </w:r>
      <w:r w:rsidR="004D3D8E">
        <w:rPr>
          <w:rFonts w:ascii="Verdana" w:hAnsi="Verdana"/>
          <w:i/>
          <w:sz w:val="24"/>
          <w:szCs w:val="24"/>
        </w:rPr>
        <w:t xml:space="preserve"> (emphasis added)</w:t>
      </w:r>
    </w:p>
    <w:p w:rsidR="00F65635" w:rsidRDefault="00F65635" w:rsidP="00940DA8">
      <w:pPr>
        <w:rPr>
          <w:rFonts w:ascii="Verdana" w:hAnsi="Verdana"/>
          <w:sz w:val="24"/>
          <w:szCs w:val="24"/>
        </w:rPr>
      </w:pPr>
    </w:p>
    <w:p w:rsidR="004C7821" w:rsidRDefault="004C7821" w:rsidP="00940DA8">
      <w:pPr>
        <w:rPr>
          <w:rFonts w:ascii="Verdana" w:hAnsi="Verdana"/>
          <w:sz w:val="24"/>
          <w:szCs w:val="24"/>
        </w:rPr>
      </w:pPr>
      <w:r>
        <w:rPr>
          <w:rFonts w:ascii="Verdana" w:hAnsi="Verdana"/>
          <w:sz w:val="24"/>
          <w:szCs w:val="24"/>
        </w:rPr>
        <w:t xml:space="preserve">This means that if the Company sells a coupon for $40 promising $80 in services, it records the entire $40 as revenue, despite its having to remit 50% or more of the coupon proceeds to </w:t>
      </w:r>
      <w:r w:rsidR="008A57DC">
        <w:rPr>
          <w:rFonts w:ascii="Verdana" w:hAnsi="Verdana"/>
          <w:sz w:val="24"/>
          <w:szCs w:val="24"/>
        </w:rPr>
        <w:t xml:space="preserve">the </w:t>
      </w:r>
      <w:r>
        <w:rPr>
          <w:rFonts w:ascii="Verdana" w:hAnsi="Verdana"/>
          <w:sz w:val="24"/>
          <w:szCs w:val="24"/>
        </w:rPr>
        <w:t xml:space="preserve">merchant that actually provides </w:t>
      </w:r>
      <w:r>
        <w:rPr>
          <w:rFonts w:ascii="Verdana" w:hAnsi="Verdana"/>
          <w:sz w:val="24"/>
          <w:szCs w:val="24"/>
        </w:rPr>
        <w:lastRenderedPageBreak/>
        <w:t xml:space="preserve">the goods or services.  </w:t>
      </w:r>
      <w:r w:rsidR="008A57DC">
        <w:rPr>
          <w:rFonts w:ascii="Verdana" w:hAnsi="Verdana"/>
          <w:sz w:val="24"/>
          <w:szCs w:val="24"/>
        </w:rPr>
        <w:t xml:space="preserve">Has Groupon really earned </w:t>
      </w:r>
      <w:r>
        <w:rPr>
          <w:rFonts w:ascii="Verdana" w:hAnsi="Verdana"/>
          <w:sz w:val="24"/>
          <w:szCs w:val="24"/>
        </w:rPr>
        <w:t xml:space="preserve">$40 (gross revenue recognition) or $20 (net recording, Groupon’s actual marketing commission).  </w:t>
      </w:r>
    </w:p>
    <w:p w:rsidR="004C7821" w:rsidRDefault="004C7821" w:rsidP="00940DA8">
      <w:pPr>
        <w:rPr>
          <w:rFonts w:ascii="Verdana" w:hAnsi="Verdana"/>
          <w:sz w:val="24"/>
          <w:szCs w:val="24"/>
        </w:rPr>
      </w:pPr>
    </w:p>
    <w:p w:rsidR="00023583" w:rsidRDefault="00023583" w:rsidP="00940DA8">
      <w:pPr>
        <w:rPr>
          <w:rFonts w:ascii="Verdana" w:hAnsi="Verdana"/>
          <w:sz w:val="24"/>
          <w:szCs w:val="24"/>
        </w:rPr>
      </w:pPr>
      <w:r>
        <w:rPr>
          <w:rFonts w:ascii="Verdana" w:hAnsi="Verdana"/>
          <w:sz w:val="24"/>
          <w:szCs w:val="24"/>
        </w:rPr>
        <w:t xml:space="preserve">What’s the big deal you ask?  Only that the Company has overstated its actual revenue by 154.82% in 2010 and 178.81% in 2009.  </w:t>
      </w:r>
      <w:r w:rsidR="002F15C8">
        <w:rPr>
          <w:rFonts w:ascii="Verdana" w:hAnsi="Verdana"/>
          <w:sz w:val="24"/>
          <w:szCs w:val="24"/>
        </w:rPr>
        <w:t>Real revenue is really what the Company reports as gross profit.</w:t>
      </w:r>
    </w:p>
    <w:p w:rsidR="00980598" w:rsidRDefault="00980598" w:rsidP="00940DA8">
      <w:pPr>
        <w:rPr>
          <w:rFonts w:ascii="Verdana" w:hAnsi="Verdana"/>
          <w:sz w:val="24"/>
          <w:szCs w:val="24"/>
        </w:rPr>
      </w:pPr>
    </w:p>
    <w:p w:rsidR="00980598" w:rsidRDefault="00980598" w:rsidP="00940DA8">
      <w:pPr>
        <w:rPr>
          <w:rFonts w:ascii="Verdana" w:hAnsi="Verdan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800"/>
        <w:gridCol w:w="1800"/>
        <w:gridCol w:w="1638"/>
      </w:tblGrid>
      <w:tr w:rsidR="00023583" w:rsidTr="00A21E7A">
        <w:tc>
          <w:tcPr>
            <w:tcW w:w="4338" w:type="dxa"/>
          </w:tcPr>
          <w:p w:rsidR="00023583" w:rsidRDefault="00023583" w:rsidP="00940DA8">
            <w:pPr>
              <w:rPr>
                <w:rFonts w:ascii="Verdana" w:hAnsi="Verdana"/>
                <w:sz w:val="24"/>
                <w:szCs w:val="24"/>
              </w:rPr>
            </w:pPr>
          </w:p>
        </w:tc>
        <w:tc>
          <w:tcPr>
            <w:tcW w:w="5238" w:type="dxa"/>
            <w:gridSpan w:val="3"/>
          </w:tcPr>
          <w:p w:rsidR="00023583" w:rsidRPr="00023583" w:rsidRDefault="00023583" w:rsidP="00023583">
            <w:pPr>
              <w:jc w:val="center"/>
              <w:rPr>
                <w:rFonts w:ascii="Verdana" w:hAnsi="Verdana"/>
                <w:b/>
                <w:i/>
                <w:sz w:val="24"/>
                <w:szCs w:val="24"/>
              </w:rPr>
            </w:pPr>
            <w:r w:rsidRPr="00023583">
              <w:rPr>
                <w:rFonts w:ascii="Verdana" w:hAnsi="Verdana"/>
                <w:b/>
                <w:i/>
                <w:sz w:val="24"/>
                <w:szCs w:val="24"/>
              </w:rPr>
              <w:t>Year Ended December 31,</w:t>
            </w:r>
          </w:p>
        </w:tc>
      </w:tr>
      <w:tr w:rsidR="00023583" w:rsidTr="00A21E7A">
        <w:tc>
          <w:tcPr>
            <w:tcW w:w="4338" w:type="dxa"/>
          </w:tcPr>
          <w:p w:rsidR="00023583" w:rsidRDefault="00023583" w:rsidP="00940DA8">
            <w:pPr>
              <w:rPr>
                <w:rFonts w:ascii="Verdana" w:hAnsi="Verdana"/>
                <w:sz w:val="24"/>
                <w:szCs w:val="24"/>
              </w:rPr>
            </w:pPr>
          </w:p>
        </w:tc>
        <w:tc>
          <w:tcPr>
            <w:tcW w:w="1800" w:type="dxa"/>
          </w:tcPr>
          <w:p w:rsidR="00023583" w:rsidRPr="00A21E7A" w:rsidRDefault="00023583" w:rsidP="00023583">
            <w:pPr>
              <w:jc w:val="center"/>
              <w:rPr>
                <w:rFonts w:ascii="Verdana" w:hAnsi="Verdana"/>
                <w:b/>
                <w:sz w:val="24"/>
                <w:szCs w:val="24"/>
                <w:u w:val="single"/>
              </w:rPr>
            </w:pPr>
            <w:r w:rsidRPr="00A21E7A">
              <w:rPr>
                <w:rFonts w:ascii="Verdana" w:hAnsi="Verdana"/>
                <w:b/>
                <w:sz w:val="24"/>
                <w:szCs w:val="24"/>
                <w:u w:val="single"/>
              </w:rPr>
              <w:t>2008</w:t>
            </w:r>
          </w:p>
        </w:tc>
        <w:tc>
          <w:tcPr>
            <w:tcW w:w="1800" w:type="dxa"/>
          </w:tcPr>
          <w:p w:rsidR="00023583" w:rsidRPr="00A21E7A" w:rsidRDefault="00023583" w:rsidP="00023583">
            <w:pPr>
              <w:jc w:val="center"/>
              <w:rPr>
                <w:rFonts w:ascii="Verdana" w:hAnsi="Verdana"/>
                <w:b/>
                <w:sz w:val="24"/>
                <w:szCs w:val="24"/>
                <w:u w:val="single"/>
              </w:rPr>
            </w:pPr>
            <w:r w:rsidRPr="00A21E7A">
              <w:rPr>
                <w:rFonts w:ascii="Verdana" w:hAnsi="Verdana"/>
                <w:b/>
                <w:sz w:val="24"/>
                <w:szCs w:val="24"/>
                <w:u w:val="single"/>
              </w:rPr>
              <w:t>2009</w:t>
            </w:r>
          </w:p>
        </w:tc>
        <w:tc>
          <w:tcPr>
            <w:tcW w:w="1638" w:type="dxa"/>
          </w:tcPr>
          <w:p w:rsidR="00023583" w:rsidRPr="00A21E7A" w:rsidRDefault="00023583" w:rsidP="00023583">
            <w:pPr>
              <w:jc w:val="center"/>
              <w:rPr>
                <w:rFonts w:ascii="Verdana" w:hAnsi="Verdana"/>
                <w:b/>
                <w:sz w:val="24"/>
                <w:szCs w:val="24"/>
                <w:u w:val="single"/>
              </w:rPr>
            </w:pPr>
            <w:r w:rsidRPr="00A21E7A">
              <w:rPr>
                <w:rFonts w:ascii="Verdana" w:hAnsi="Verdana"/>
                <w:b/>
                <w:sz w:val="24"/>
                <w:szCs w:val="24"/>
                <w:u w:val="single"/>
              </w:rPr>
              <w:t>2010</w:t>
            </w:r>
          </w:p>
        </w:tc>
      </w:tr>
      <w:tr w:rsidR="00023583" w:rsidTr="00A21E7A">
        <w:tc>
          <w:tcPr>
            <w:tcW w:w="4338" w:type="dxa"/>
          </w:tcPr>
          <w:p w:rsidR="00023583" w:rsidRDefault="00023583" w:rsidP="00940DA8">
            <w:pPr>
              <w:rPr>
                <w:rFonts w:ascii="Verdana" w:hAnsi="Verdana"/>
                <w:sz w:val="24"/>
                <w:szCs w:val="24"/>
              </w:rPr>
            </w:pPr>
            <w:r>
              <w:rPr>
                <w:rFonts w:ascii="Verdana" w:hAnsi="Verdana"/>
                <w:sz w:val="24"/>
                <w:szCs w:val="24"/>
              </w:rPr>
              <w:t>Revenue (as reported)</w:t>
            </w:r>
          </w:p>
        </w:tc>
        <w:tc>
          <w:tcPr>
            <w:tcW w:w="1800" w:type="dxa"/>
          </w:tcPr>
          <w:p w:rsidR="00023583" w:rsidRDefault="00023583" w:rsidP="00023583">
            <w:pPr>
              <w:jc w:val="right"/>
              <w:rPr>
                <w:rFonts w:ascii="Verdana" w:hAnsi="Verdana"/>
                <w:sz w:val="24"/>
                <w:szCs w:val="24"/>
              </w:rPr>
            </w:pPr>
            <w:r>
              <w:rPr>
                <w:rFonts w:ascii="Verdana" w:hAnsi="Verdana"/>
                <w:sz w:val="24"/>
                <w:szCs w:val="24"/>
              </w:rPr>
              <w:t>$</w:t>
            </w:r>
            <w:r w:rsidRPr="00023583">
              <w:rPr>
                <w:rFonts w:ascii="Verdana" w:hAnsi="Verdana"/>
                <w:sz w:val="24"/>
                <w:szCs w:val="24"/>
              </w:rPr>
              <w:t>94</w:t>
            </w:r>
          </w:p>
        </w:tc>
        <w:tc>
          <w:tcPr>
            <w:tcW w:w="1800" w:type="dxa"/>
          </w:tcPr>
          <w:p w:rsidR="00023583" w:rsidRDefault="00023583" w:rsidP="00023583">
            <w:pPr>
              <w:jc w:val="right"/>
              <w:rPr>
                <w:rFonts w:ascii="Verdana" w:hAnsi="Verdana"/>
                <w:sz w:val="24"/>
                <w:szCs w:val="24"/>
              </w:rPr>
            </w:pPr>
            <w:r>
              <w:rPr>
                <w:rFonts w:ascii="Verdana" w:hAnsi="Verdana"/>
                <w:sz w:val="24"/>
                <w:szCs w:val="24"/>
              </w:rPr>
              <w:t>$</w:t>
            </w:r>
            <w:r w:rsidRPr="00023583">
              <w:rPr>
                <w:rFonts w:ascii="Verdana" w:hAnsi="Verdana"/>
                <w:sz w:val="24"/>
                <w:szCs w:val="24"/>
              </w:rPr>
              <w:t>30,471</w:t>
            </w:r>
          </w:p>
        </w:tc>
        <w:tc>
          <w:tcPr>
            <w:tcW w:w="1638" w:type="dxa"/>
          </w:tcPr>
          <w:p w:rsidR="00023583" w:rsidRDefault="00023583" w:rsidP="00023583">
            <w:pPr>
              <w:jc w:val="right"/>
              <w:rPr>
                <w:rFonts w:ascii="Verdana" w:hAnsi="Verdana"/>
                <w:sz w:val="24"/>
                <w:szCs w:val="24"/>
              </w:rPr>
            </w:pPr>
            <w:r>
              <w:rPr>
                <w:rFonts w:ascii="Verdana" w:hAnsi="Verdana"/>
                <w:sz w:val="24"/>
                <w:szCs w:val="24"/>
              </w:rPr>
              <w:t>$</w:t>
            </w:r>
            <w:r w:rsidRPr="00023583">
              <w:rPr>
                <w:rFonts w:ascii="Verdana" w:hAnsi="Verdana"/>
                <w:sz w:val="24"/>
                <w:szCs w:val="24"/>
              </w:rPr>
              <w:t>713,365</w:t>
            </w:r>
          </w:p>
        </w:tc>
      </w:tr>
      <w:tr w:rsidR="00023583" w:rsidTr="00A21E7A">
        <w:tc>
          <w:tcPr>
            <w:tcW w:w="4338" w:type="dxa"/>
          </w:tcPr>
          <w:p w:rsidR="00023583" w:rsidRDefault="00023583" w:rsidP="00940DA8">
            <w:pPr>
              <w:rPr>
                <w:rFonts w:ascii="Verdana" w:hAnsi="Verdana"/>
                <w:sz w:val="24"/>
                <w:szCs w:val="24"/>
              </w:rPr>
            </w:pPr>
            <w:r w:rsidRPr="00023583">
              <w:rPr>
                <w:rFonts w:ascii="Verdana" w:hAnsi="Verdana"/>
                <w:sz w:val="24"/>
                <w:szCs w:val="24"/>
              </w:rPr>
              <w:t>Cost of revenue</w:t>
            </w:r>
            <w:r>
              <w:rPr>
                <w:rFonts w:ascii="Verdana" w:hAnsi="Verdana"/>
                <w:sz w:val="24"/>
                <w:szCs w:val="24"/>
              </w:rPr>
              <w:t xml:space="preserve"> (as reported)</w:t>
            </w:r>
          </w:p>
        </w:tc>
        <w:tc>
          <w:tcPr>
            <w:tcW w:w="1800" w:type="dxa"/>
          </w:tcPr>
          <w:p w:rsidR="00023583" w:rsidRDefault="00023583" w:rsidP="00023583">
            <w:pPr>
              <w:jc w:val="right"/>
              <w:rPr>
                <w:rFonts w:ascii="Verdana" w:hAnsi="Verdana"/>
                <w:sz w:val="24"/>
                <w:szCs w:val="24"/>
              </w:rPr>
            </w:pPr>
            <w:r w:rsidRPr="00023583">
              <w:rPr>
                <w:rFonts w:ascii="Verdana" w:hAnsi="Verdana"/>
                <w:sz w:val="24"/>
                <w:szCs w:val="24"/>
              </w:rPr>
              <w:t>89</w:t>
            </w:r>
          </w:p>
        </w:tc>
        <w:tc>
          <w:tcPr>
            <w:tcW w:w="1800" w:type="dxa"/>
          </w:tcPr>
          <w:p w:rsidR="00023583" w:rsidRDefault="00023583" w:rsidP="00023583">
            <w:pPr>
              <w:jc w:val="right"/>
              <w:rPr>
                <w:rFonts w:ascii="Verdana" w:hAnsi="Verdana"/>
                <w:sz w:val="24"/>
                <w:szCs w:val="24"/>
              </w:rPr>
            </w:pPr>
            <w:r w:rsidRPr="00023583">
              <w:rPr>
                <w:rFonts w:ascii="Verdana" w:hAnsi="Verdana"/>
                <w:sz w:val="24"/>
                <w:szCs w:val="24"/>
              </w:rPr>
              <w:t>19,542</w:t>
            </w:r>
          </w:p>
        </w:tc>
        <w:tc>
          <w:tcPr>
            <w:tcW w:w="1638" w:type="dxa"/>
          </w:tcPr>
          <w:p w:rsidR="00023583" w:rsidRDefault="00023583" w:rsidP="00023583">
            <w:pPr>
              <w:jc w:val="right"/>
              <w:rPr>
                <w:rFonts w:ascii="Verdana" w:hAnsi="Verdana"/>
                <w:sz w:val="24"/>
                <w:szCs w:val="24"/>
              </w:rPr>
            </w:pPr>
            <w:r w:rsidRPr="00023583">
              <w:rPr>
                <w:rFonts w:ascii="Verdana" w:hAnsi="Verdana"/>
                <w:sz w:val="24"/>
                <w:szCs w:val="24"/>
              </w:rPr>
              <w:t>433,411</w:t>
            </w:r>
          </w:p>
        </w:tc>
      </w:tr>
      <w:tr w:rsidR="00023583" w:rsidTr="00A21E7A">
        <w:tc>
          <w:tcPr>
            <w:tcW w:w="4338" w:type="dxa"/>
          </w:tcPr>
          <w:p w:rsidR="00023583" w:rsidRDefault="00023583" w:rsidP="00940DA8">
            <w:pPr>
              <w:rPr>
                <w:rFonts w:ascii="Verdana" w:hAnsi="Verdana"/>
                <w:sz w:val="24"/>
                <w:szCs w:val="24"/>
              </w:rPr>
            </w:pPr>
            <w:r>
              <w:rPr>
                <w:rFonts w:ascii="Verdana" w:hAnsi="Verdana"/>
                <w:sz w:val="24"/>
                <w:szCs w:val="24"/>
              </w:rPr>
              <w:t>Gross profit (as reported)</w:t>
            </w:r>
            <w:r>
              <w:rPr>
                <w:rFonts w:ascii="Verdana" w:hAnsi="Verdana"/>
                <w:sz w:val="24"/>
                <w:szCs w:val="24"/>
              </w:rPr>
              <w:br/>
              <w:t>Real Groupon revenue</w:t>
            </w:r>
          </w:p>
        </w:tc>
        <w:tc>
          <w:tcPr>
            <w:tcW w:w="1800" w:type="dxa"/>
          </w:tcPr>
          <w:p w:rsidR="00023583" w:rsidRDefault="00023583" w:rsidP="00023583">
            <w:pPr>
              <w:jc w:val="right"/>
              <w:rPr>
                <w:rFonts w:ascii="Verdana" w:hAnsi="Verdana"/>
                <w:sz w:val="24"/>
                <w:szCs w:val="24"/>
              </w:rPr>
            </w:pPr>
          </w:p>
          <w:p w:rsidR="00023583" w:rsidRDefault="00023583" w:rsidP="00023583">
            <w:pPr>
              <w:jc w:val="right"/>
              <w:rPr>
                <w:rFonts w:ascii="Verdana" w:hAnsi="Verdana"/>
                <w:sz w:val="24"/>
                <w:szCs w:val="24"/>
              </w:rPr>
            </w:pPr>
            <w:r w:rsidRPr="00023583">
              <w:rPr>
                <w:rFonts w:ascii="Verdana" w:hAnsi="Verdana"/>
                <w:sz w:val="24"/>
                <w:szCs w:val="24"/>
              </w:rPr>
              <w:t>5</w:t>
            </w:r>
          </w:p>
        </w:tc>
        <w:tc>
          <w:tcPr>
            <w:tcW w:w="1800" w:type="dxa"/>
          </w:tcPr>
          <w:p w:rsidR="00023583" w:rsidRDefault="00023583" w:rsidP="00023583">
            <w:pPr>
              <w:jc w:val="right"/>
              <w:rPr>
                <w:rFonts w:ascii="Verdana" w:hAnsi="Verdana"/>
                <w:sz w:val="24"/>
                <w:szCs w:val="24"/>
              </w:rPr>
            </w:pPr>
          </w:p>
          <w:p w:rsidR="00023583" w:rsidRDefault="00023583" w:rsidP="00023583">
            <w:pPr>
              <w:jc w:val="right"/>
              <w:rPr>
                <w:rFonts w:ascii="Verdana" w:hAnsi="Verdana"/>
                <w:sz w:val="24"/>
                <w:szCs w:val="24"/>
              </w:rPr>
            </w:pPr>
            <w:r w:rsidRPr="00023583">
              <w:rPr>
                <w:rFonts w:ascii="Verdana" w:hAnsi="Verdana"/>
                <w:sz w:val="24"/>
                <w:szCs w:val="24"/>
              </w:rPr>
              <w:t>10,929</w:t>
            </w:r>
          </w:p>
        </w:tc>
        <w:tc>
          <w:tcPr>
            <w:tcW w:w="1638" w:type="dxa"/>
          </w:tcPr>
          <w:p w:rsidR="00023583" w:rsidRDefault="00023583" w:rsidP="00023583">
            <w:pPr>
              <w:jc w:val="right"/>
              <w:rPr>
                <w:rFonts w:ascii="Verdana" w:hAnsi="Verdana"/>
                <w:sz w:val="24"/>
                <w:szCs w:val="24"/>
              </w:rPr>
            </w:pPr>
          </w:p>
          <w:p w:rsidR="00023583" w:rsidRDefault="00023583" w:rsidP="00023583">
            <w:pPr>
              <w:jc w:val="right"/>
              <w:rPr>
                <w:rFonts w:ascii="Verdana" w:hAnsi="Verdana"/>
                <w:sz w:val="24"/>
                <w:szCs w:val="24"/>
              </w:rPr>
            </w:pPr>
            <w:r w:rsidRPr="00023583">
              <w:rPr>
                <w:rFonts w:ascii="Verdana" w:hAnsi="Verdana"/>
                <w:sz w:val="24"/>
                <w:szCs w:val="24"/>
              </w:rPr>
              <w:t>279,954</w:t>
            </w:r>
          </w:p>
        </w:tc>
      </w:tr>
      <w:tr w:rsidR="00023583" w:rsidTr="00A21E7A">
        <w:tc>
          <w:tcPr>
            <w:tcW w:w="4338" w:type="dxa"/>
          </w:tcPr>
          <w:p w:rsidR="00023583" w:rsidRDefault="00023583" w:rsidP="00940DA8">
            <w:pPr>
              <w:rPr>
                <w:rFonts w:ascii="Verdana" w:hAnsi="Verdana"/>
                <w:sz w:val="24"/>
                <w:szCs w:val="24"/>
              </w:rPr>
            </w:pPr>
            <w:r>
              <w:rPr>
                <w:rFonts w:ascii="Verdana" w:hAnsi="Verdana"/>
                <w:sz w:val="24"/>
                <w:szCs w:val="24"/>
              </w:rPr>
              <w:t>Revenue overstatement %</w:t>
            </w:r>
          </w:p>
        </w:tc>
        <w:tc>
          <w:tcPr>
            <w:tcW w:w="1800" w:type="dxa"/>
          </w:tcPr>
          <w:p w:rsidR="00D531CB" w:rsidRDefault="00023583" w:rsidP="00D531CB">
            <w:pPr>
              <w:jc w:val="right"/>
              <w:rPr>
                <w:rFonts w:ascii="Verdana" w:hAnsi="Verdana"/>
                <w:sz w:val="24"/>
                <w:szCs w:val="24"/>
              </w:rPr>
            </w:pPr>
            <w:r>
              <w:rPr>
                <w:rFonts w:ascii="Verdana" w:hAnsi="Verdana"/>
                <w:sz w:val="24"/>
                <w:szCs w:val="24"/>
              </w:rPr>
              <w:t>1,780%</w:t>
            </w:r>
          </w:p>
        </w:tc>
        <w:tc>
          <w:tcPr>
            <w:tcW w:w="1800" w:type="dxa"/>
          </w:tcPr>
          <w:p w:rsidR="00D531CB" w:rsidRDefault="00023583" w:rsidP="00D531CB">
            <w:pPr>
              <w:jc w:val="right"/>
              <w:rPr>
                <w:rFonts w:ascii="Verdana" w:hAnsi="Verdana"/>
                <w:sz w:val="24"/>
                <w:szCs w:val="24"/>
              </w:rPr>
            </w:pPr>
            <w:r>
              <w:rPr>
                <w:rFonts w:ascii="Verdana" w:hAnsi="Verdana"/>
                <w:sz w:val="24"/>
                <w:szCs w:val="24"/>
              </w:rPr>
              <w:t>178%</w:t>
            </w:r>
          </w:p>
        </w:tc>
        <w:tc>
          <w:tcPr>
            <w:tcW w:w="1638" w:type="dxa"/>
          </w:tcPr>
          <w:p w:rsidR="00D531CB" w:rsidRDefault="00023583" w:rsidP="00D531CB">
            <w:pPr>
              <w:jc w:val="right"/>
              <w:rPr>
                <w:rFonts w:ascii="Verdana" w:hAnsi="Verdana"/>
                <w:sz w:val="24"/>
                <w:szCs w:val="24"/>
              </w:rPr>
            </w:pPr>
            <w:r>
              <w:rPr>
                <w:rFonts w:ascii="Verdana" w:hAnsi="Verdana"/>
                <w:sz w:val="24"/>
                <w:szCs w:val="24"/>
              </w:rPr>
              <w:t>154%</w:t>
            </w:r>
          </w:p>
        </w:tc>
      </w:tr>
    </w:tbl>
    <w:p w:rsidR="00023583" w:rsidRDefault="00023583" w:rsidP="00940DA8">
      <w:pPr>
        <w:rPr>
          <w:rFonts w:ascii="Verdana" w:hAnsi="Verdana"/>
          <w:sz w:val="24"/>
          <w:szCs w:val="24"/>
        </w:rPr>
      </w:pPr>
    </w:p>
    <w:p w:rsidR="00382D7A" w:rsidRPr="00DA51E0" w:rsidRDefault="00382D7A" w:rsidP="00940DA8">
      <w:pPr>
        <w:rPr>
          <w:rFonts w:ascii="Verdana" w:hAnsi="Verdana"/>
          <w:sz w:val="24"/>
          <w:szCs w:val="24"/>
        </w:rPr>
      </w:pPr>
      <w:r>
        <w:rPr>
          <w:rFonts w:ascii="Verdana" w:hAnsi="Verdana"/>
          <w:sz w:val="24"/>
          <w:szCs w:val="24"/>
        </w:rPr>
        <w:t xml:space="preserve">The highlighted wording </w:t>
      </w:r>
      <w:r w:rsidR="008A57DC">
        <w:rPr>
          <w:rFonts w:ascii="Verdana" w:hAnsi="Verdana"/>
          <w:sz w:val="24"/>
          <w:szCs w:val="24"/>
        </w:rPr>
        <w:t xml:space="preserve">in the above </w:t>
      </w:r>
      <w:r w:rsidR="00023583">
        <w:rPr>
          <w:rFonts w:ascii="Verdana" w:hAnsi="Verdana"/>
          <w:sz w:val="24"/>
          <w:szCs w:val="24"/>
        </w:rPr>
        <w:t xml:space="preserve">Groupon </w:t>
      </w:r>
      <w:r w:rsidR="008A57DC">
        <w:rPr>
          <w:rFonts w:ascii="Verdana" w:hAnsi="Verdana"/>
          <w:sz w:val="24"/>
          <w:szCs w:val="24"/>
        </w:rPr>
        <w:t xml:space="preserve">accounting policy </w:t>
      </w:r>
      <w:r>
        <w:rPr>
          <w:rFonts w:ascii="Verdana" w:hAnsi="Verdana"/>
          <w:sz w:val="24"/>
          <w:szCs w:val="24"/>
        </w:rPr>
        <w:t xml:space="preserve">is key to the Company’s </w:t>
      </w:r>
      <w:r w:rsidR="008A57DC">
        <w:rPr>
          <w:rFonts w:ascii="Verdana" w:hAnsi="Verdana"/>
          <w:sz w:val="24"/>
          <w:szCs w:val="24"/>
        </w:rPr>
        <w:t xml:space="preserve">argument for </w:t>
      </w:r>
      <w:r>
        <w:rPr>
          <w:rFonts w:ascii="Verdana" w:hAnsi="Verdana"/>
          <w:sz w:val="24"/>
          <w:szCs w:val="24"/>
        </w:rPr>
        <w:t>report</w:t>
      </w:r>
      <w:r w:rsidR="008A57DC">
        <w:rPr>
          <w:rFonts w:ascii="Verdana" w:hAnsi="Verdana"/>
          <w:sz w:val="24"/>
          <w:szCs w:val="24"/>
        </w:rPr>
        <w:t>ing</w:t>
      </w:r>
      <w:r>
        <w:rPr>
          <w:rFonts w:ascii="Verdana" w:hAnsi="Verdana"/>
          <w:sz w:val="24"/>
          <w:szCs w:val="24"/>
        </w:rPr>
        <w:t xml:space="preserve"> the entire (or gross) amount of a Groupon sale as revenue, and comes almost verbatim from Emerging Issues Task Force (EITF) 99-19 which lists </w:t>
      </w:r>
      <w:r w:rsidR="00023583" w:rsidRPr="00023583">
        <w:rPr>
          <w:rFonts w:ascii="Verdana" w:hAnsi="Verdana"/>
          <w:b/>
          <w:i/>
          <w:sz w:val="24"/>
          <w:szCs w:val="24"/>
        </w:rPr>
        <w:t>primary obligor</w:t>
      </w:r>
      <w:r w:rsidR="00404CF7">
        <w:rPr>
          <w:rFonts w:ascii="Verdana" w:hAnsi="Verdana"/>
          <w:sz w:val="24"/>
          <w:szCs w:val="24"/>
        </w:rPr>
        <w:t xml:space="preserve"> as only one</w:t>
      </w:r>
      <w:r>
        <w:rPr>
          <w:rFonts w:ascii="Verdana" w:hAnsi="Verdana"/>
          <w:sz w:val="24"/>
          <w:szCs w:val="24"/>
        </w:rPr>
        <w:t xml:space="preserve"> </w:t>
      </w:r>
      <w:r w:rsidRPr="00382D7A">
        <w:rPr>
          <w:rFonts w:ascii="Verdana" w:hAnsi="Verdana"/>
          <w:i/>
          <w:sz w:val="24"/>
          <w:szCs w:val="24"/>
        </w:rPr>
        <w:t>indicator</w:t>
      </w:r>
      <w:r>
        <w:rPr>
          <w:rFonts w:ascii="Verdana" w:hAnsi="Verdana"/>
          <w:i/>
          <w:sz w:val="24"/>
          <w:szCs w:val="24"/>
        </w:rPr>
        <w:t xml:space="preserve"> </w:t>
      </w:r>
      <w:r>
        <w:rPr>
          <w:rFonts w:ascii="Verdana" w:hAnsi="Verdana"/>
          <w:sz w:val="24"/>
          <w:szCs w:val="24"/>
        </w:rPr>
        <w:t>(not a criter</w:t>
      </w:r>
      <w:r w:rsidR="00694AA8">
        <w:rPr>
          <w:rFonts w:ascii="Verdana" w:hAnsi="Verdana"/>
          <w:sz w:val="24"/>
          <w:szCs w:val="24"/>
        </w:rPr>
        <w:t>i</w:t>
      </w:r>
      <w:r>
        <w:rPr>
          <w:rFonts w:ascii="Verdana" w:hAnsi="Verdana"/>
          <w:sz w:val="24"/>
          <w:szCs w:val="24"/>
        </w:rPr>
        <w:t xml:space="preserve">a) for </w:t>
      </w:r>
      <w:r w:rsidR="00404CF7" w:rsidRPr="00694AA8">
        <w:rPr>
          <w:rFonts w:ascii="Verdana" w:hAnsi="Verdana"/>
          <w:i/>
          <w:sz w:val="24"/>
          <w:szCs w:val="24"/>
        </w:rPr>
        <w:t>possible</w:t>
      </w:r>
      <w:r w:rsidR="00404CF7">
        <w:rPr>
          <w:rFonts w:ascii="Verdana" w:hAnsi="Verdana"/>
          <w:sz w:val="24"/>
          <w:szCs w:val="24"/>
        </w:rPr>
        <w:t xml:space="preserve"> </w:t>
      </w:r>
      <w:r>
        <w:rPr>
          <w:rFonts w:ascii="Verdana" w:hAnsi="Verdana"/>
          <w:sz w:val="24"/>
          <w:szCs w:val="24"/>
        </w:rPr>
        <w:t>gross revenue reporting.  And how does a coupon broker like Groupon become the prim</w:t>
      </w:r>
      <w:r w:rsidR="00940DA8">
        <w:rPr>
          <w:rFonts w:ascii="Verdana" w:hAnsi="Verdana"/>
          <w:sz w:val="24"/>
          <w:szCs w:val="24"/>
        </w:rPr>
        <w:t xml:space="preserve">ary transaction obligor?  To force this accounting, the Company cleverly created the </w:t>
      </w:r>
      <w:r w:rsidRPr="00382D7A">
        <w:rPr>
          <w:rFonts w:ascii="Verdana" w:hAnsi="Verdana"/>
          <w:sz w:val="24"/>
          <w:szCs w:val="24"/>
        </w:rPr>
        <w:t>Groupon P</w:t>
      </w:r>
      <w:r w:rsidR="00940DA8">
        <w:rPr>
          <w:rFonts w:ascii="Verdana" w:hAnsi="Verdana"/>
          <w:sz w:val="24"/>
          <w:szCs w:val="24"/>
        </w:rPr>
        <w:t xml:space="preserve">romise, which promises </w:t>
      </w:r>
      <w:r w:rsidRPr="00382D7A">
        <w:rPr>
          <w:rFonts w:ascii="Verdana" w:hAnsi="Verdana"/>
          <w:sz w:val="24"/>
          <w:szCs w:val="24"/>
        </w:rPr>
        <w:t>customers a refund of th</w:t>
      </w:r>
      <w:r w:rsidR="00940DA8">
        <w:rPr>
          <w:rFonts w:ascii="Verdana" w:hAnsi="Verdana"/>
          <w:sz w:val="24"/>
          <w:szCs w:val="24"/>
        </w:rPr>
        <w:t>e amount paid for the Groupon if</w:t>
      </w:r>
      <w:r w:rsidRPr="00382D7A">
        <w:rPr>
          <w:rFonts w:ascii="Verdana" w:hAnsi="Verdana"/>
          <w:sz w:val="24"/>
          <w:szCs w:val="24"/>
        </w:rPr>
        <w:t xml:space="preserve"> the merchant is unable or fails to deliver the goods or</w:t>
      </w:r>
      <w:r w:rsidR="00023583">
        <w:rPr>
          <w:rFonts w:ascii="Verdana" w:hAnsi="Verdana"/>
          <w:sz w:val="24"/>
          <w:szCs w:val="24"/>
        </w:rPr>
        <w:t xml:space="preserve"> </w:t>
      </w:r>
      <w:r w:rsidRPr="00382D7A">
        <w:rPr>
          <w:rFonts w:ascii="Verdana" w:hAnsi="Verdana"/>
          <w:sz w:val="24"/>
          <w:szCs w:val="24"/>
        </w:rPr>
        <w:t>service</w:t>
      </w:r>
      <w:r w:rsidR="00940DA8">
        <w:rPr>
          <w:rFonts w:ascii="Verdana" w:hAnsi="Verdana"/>
          <w:sz w:val="24"/>
          <w:szCs w:val="24"/>
        </w:rPr>
        <w:t xml:space="preserve">s in a satisfactory manner. </w:t>
      </w:r>
      <w:r w:rsidR="00940DA8" w:rsidRPr="00023583">
        <w:rPr>
          <w:rFonts w:ascii="Verdana" w:hAnsi="Verdana"/>
          <w:b/>
          <w:i/>
          <w:sz w:val="24"/>
          <w:szCs w:val="24"/>
        </w:rPr>
        <w:t xml:space="preserve">However, the Company clearly acknowledges that the </w:t>
      </w:r>
      <w:r w:rsidRPr="00023583">
        <w:rPr>
          <w:rFonts w:ascii="Verdana" w:hAnsi="Verdana"/>
          <w:b/>
          <w:i/>
          <w:sz w:val="24"/>
          <w:szCs w:val="24"/>
        </w:rPr>
        <w:t>merchants are responsible for fulfilling the obligation to deliver the goods and services that are sold when a</w:t>
      </w:r>
      <w:r w:rsidR="00940DA8" w:rsidRPr="00023583">
        <w:rPr>
          <w:rFonts w:ascii="Verdana" w:hAnsi="Verdana"/>
          <w:b/>
          <w:i/>
          <w:sz w:val="24"/>
          <w:szCs w:val="24"/>
        </w:rPr>
        <w:t xml:space="preserve"> Groupon is redeemed.</w:t>
      </w:r>
      <w:r w:rsidR="00DA51E0">
        <w:rPr>
          <w:rFonts w:ascii="Verdana" w:hAnsi="Verdana"/>
          <w:b/>
          <w:i/>
          <w:sz w:val="24"/>
          <w:szCs w:val="24"/>
        </w:rPr>
        <w:t xml:space="preserve">  </w:t>
      </w:r>
    </w:p>
    <w:p w:rsidR="00940DA8" w:rsidRDefault="00940DA8" w:rsidP="00940DA8">
      <w:pPr>
        <w:rPr>
          <w:rFonts w:ascii="Verdana" w:hAnsi="Verdana"/>
          <w:sz w:val="24"/>
          <w:szCs w:val="24"/>
        </w:rPr>
      </w:pPr>
    </w:p>
    <w:p w:rsidR="00940DA8" w:rsidRDefault="00940DA8" w:rsidP="00940DA8">
      <w:pPr>
        <w:rPr>
          <w:rFonts w:ascii="Verdana" w:hAnsi="Verdana"/>
          <w:sz w:val="24"/>
          <w:szCs w:val="24"/>
        </w:rPr>
      </w:pPr>
      <w:r>
        <w:rPr>
          <w:rFonts w:ascii="Verdana" w:hAnsi="Verdana"/>
          <w:sz w:val="24"/>
          <w:szCs w:val="24"/>
        </w:rPr>
        <w:t xml:space="preserve">So, despite what the Company says, it is NOT the primary obligor </w:t>
      </w:r>
      <w:r w:rsidR="00DA51E0">
        <w:rPr>
          <w:rFonts w:ascii="Verdana" w:hAnsi="Verdana"/>
          <w:sz w:val="24"/>
          <w:szCs w:val="24"/>
        </w:rPr>
        <w:t xml:space="preserve">as it contends, since </w:t>
      </w:r>
      <w:r>
        <w:rPr>
          <w:rFonts w:ascii="Verdana" w:hAnsi="Verdana"/>
          <w:sz w:val="24"/>
          <w:szCs w:val="24"/>
        </w:rPr>
        <w:t>it is NOT the “party responsible to the customer for providing the product or service that is the subject of</w:t>
      </w:r>
      <w:r w:rsidR="00DA51E0">
        <w:rPr>
          <w:rFonts w:ascii="Verdana" w:hAnsi="Verdana"/>
          <w:sz w:val="24"/>
          <w:szCs w:val="24"/>
        </w:rPr>
        <w:t xml:space="preserve"> the arrangement” (</w:t>
      </w:r>
      <w:hyperlink r:id="rId8" w:history="1">
        <w:r w:rsidR="00DA51E0" w:rsidRPr="00AA096C">
          <w:rPr>
            <w:rStyle w:val="Hyperlink"/>
            <w:rFonts w:ascii="Verdana" w:hAnsi="Verdana"/>
            <w:sz w:val="24"/>
            <w:szCs w:val="24"/>
          </w:rPr>
          <w:t>EITF 99-19</w:t>
        </w:r>
      </w:hyperlink>
      <w:r w:rsidR="00DA51E0">
        <w:rPr>
          <w:rFonts w:ascii="Verdana" w:hAnsi="Verdana"/>
          <w:sz w:val="24"/>
          <w:szCs w:val="24"/>
        </w:rPr>
        <w:t>)…</w:t>
      </w:r>
      <w:r>
        <w:rPr>
          <w:rFonts w:ascii="Verdana" w:hAnsi="Verdana"/>
          <w:sz w:val="24"/>
          <w:szCs w:val="24"/>
        </w:rPr>
        <w:t xml:space="preserve">the merchants are.  </w:t>
      </w:r>
      <w:r w:rsidR="00DA51E0">
        <w:rPr>
          <w:rFonts w:ascii="Verdana" w:hAnsi="Verdana"/>
          <w:sz w:val="24"/>
          <w:szCs w:val="24"/>
        </w:rPr>
        <w:t xml:space="preserve">Therefore, Groupon is not the primary obligor, but rather </w:t>
      </w:r>
      <w:r w:rsidR="00DA51E0" w:rsidRPr="00DA51E0">
        <w:rPr>
          <w:rFonts w:ascii="Verdana" w:hAnsi="Verdana"/>
          <w:b/>
          <w:sz w:val="24"/>
          <w:szCs w:val="24"/>
        </w:rPr>
        <w:t>a guarantor</w:t>
      </w:r>
      <w:r w:rsidR="00977F4C">
        <w:rPr>
          <w:rFonts w:ascii="Verdana" w:hAnsi="Verdana"/>
          <w:b/>
          <w:sz w:val="24"/>
          <w:szCs w:val="24"/>
        </w:rPr>
        <w:t xml:space="preserve"> </w:t>
      </w:r>
      <w:r w:rsidR="00977F4C" w:rsidRPr="00977F4C">
        <w:rPr>
          <w:rFonts w:ascii="Verdana" w:hAnsi="Verdana"/>
          <w:sz w:val="24"/>
          <w:szCs w:val="24"/>
        </w:rPr>
        <w:t>of sorts</w:t>
      </w:r>
      <w:r w:rsidR="00DA51E0">
        <w:rPr>
          <w:rFonts w:ascii="Verdana" w:hAnsi="Verdana"/>
          <w:sz w:val="24"/>
          <w:szCs w:val="24"/>
        </w:rPr>
        <w:t xml:space="preserve">! </w:t>
      </w:r>
      <w:r>
        <w:rPr>
          <w:rFonts w:ascii="Verdana" w:hAnsi="Verdana"/>
          <w:sz w:val="24"/>
          <w:szCs w:val="24"/>
        </w:rPr>
        <w:t xml:space="preserve">Oh, by the </w:t>
      </w:r>
      <w:r w:rsidR="000B1822">
        <w:rPr>
          <w:rFonts w:ascii="Verdana" w:hAnsi="Verdana"/>
          <w:sz w:val="24"/>
          <w:szCs w:val="24"/>
        </w:rPr>
        <w:t>way, Groupon selectively ignored</w:t>
      </w:r>
      <w:r>
        <w:rPr>
          <w:rFonts w:ascii="Verdana" w:hAnsi="Verdana"/>
          <w:sz w:val="24"/>
          <w:szCs w:val="24"/>
        </w:rPr>
        <w:t xml:space="preserve"> other gross revenue indicators outlined </w:t>
      </w:r>
      <w:r w:rsidR="000B1822">
        <w:rPr>
          <w:rFonts w:ascii="Verdana" w:hAnsi="Verdana"/>
          <w:sz w:val="24"/>
          <w:szCs w:val="24"/>
        </w:rPr>
        <w:t>in the EITF.  For example, the Company:</w:t>
      </w:r>
    </w:p>
    <w:p w:rsidR="000B1822" w:rsidRDefault="000B1822" w:rsidP="00940DA8">
      <w:pPr>
        <w:rPr>
          <w:rFonts w:ascii="Verdana" w:hAnsi="Verdana"/>
          <w:sz w:val="24"/>
          <w:szCs w:val="24"/>
        </w:rPr>
      </w:pPr>
    </w:p>
    <w:p w:rsidR="000B1822" w:rsidRDefault="000B1822" w:rsidP="000B1822">
      <w:pPr>
        <w:pStyle w:val="ListParagraph"/>
        <w:numPr>
          <w:ilvl w:val="0"/>
          <w:numId w:val="8"/>
        </w:numPr>
        <w:rPr>
          <w:rFonts w:ascii="Verdana" w:hAnsi="Verdana"/>
          <w:sz w:val="24"/>
          <w:szCs w:val="24"/>
        </w:rPr>
      </w:pPr>
      <w:r>
        <w:rPr>
          <w:rFonts w:ascii="Verdana" w:hAnsi="Verdana"/>
          <w:sz w:val="24"/>
          <w:szCs w:val="24"/>
        </w:rPr>
        <w:t>Has no inventory, and consequently no inventory risk.</w:t>
      </w:r>
    </w:p>
    <w:p w:rsidR="000B1822" w:rsidRDefault="000B1822" w:rsidP="000B1822">
      <w:pPr>
        <w:pStyle w:val="ListParagraph"/>
        <w:numPr>
          <w:ilvl w:val="0"/>
          <w:numId w:val="8"/>
        </w:numPr>
        <w:rPr>
          <w:rFonts w:ascii="Verdana" w:hAnsi="Verdana"/>
          <w:sz w:val="24"/>
          <w:szCs w:val="24"/>
        </w:rPr>
      </w:pPr>
      <w:r>
        <w:rPr>
          <w:rFonts w:ascii="Verdana" w:hAnsi="Verdana"/>
          <w:sz w:val="24"/>
          <w:szCs w:val="24"/>
        </w:rPr>
        <w:t>Cannot set product or service price.</w:t>
      </w:r>
    </w:p>
    <w:p w:rsidR="000B1822" w:rsidRDefault="000B1822" w:rsidP="000B1822">
      <w:pPr>
        <w:pStyle w:val="ListParagraph"/>
        <w:numPr>
          <w:ilvl w:val="0"/>
          <w:numId w:val="8"/>
        </w:numPr>
        <w:rPr>
          <w:rFonts w:ascii="Verdana" w:hAnsi="Verdana"/>
          <w:sz w:val="24"/>
          <w:szCs w:val="24"/>
        </w:rPr>
      </w:pPr>
      <w:r>
        <w:rPr>
          <w:rFonts w:ascii="Verdana" w:hAnsi="Verdana"/>
          <w:sz w:val="24"/>
          <w:szCs w:val="24"/>
        </w:rPr>
        <w:t>C</w:t>
      </w:r>
      <w:r w:rsidR="00404CF7">
        <w:rPr>
          <w:rFonts w:ascii="Verdana" w:hAnsi="Verdana"/>
          <w:sz w:val="24"/>
          <w:szCs w:val="24"/>
        </w:rPr>
        <w:t>annot c</w:t>
      </w:r>
      <w:r>
        <w:rPr>
          <w:rFonts w:ascii="Verdana" w:hAnsi="Verdana"/>
          <w:sz w:val="24"/>
          <w:szCs w:val="24"/>
        </w:rPr>
        <w:t>hange the product, nor does it perform part of the service.</w:t>
      </w:r>
    </w:p>
    <w:p w:rsidR="000B1822" w:rsidRDefault="000B1822" w:rsidP="000B1822">
      <w:pPr>
        <w:pStyle w:val="ListParagraph"/>
        <w:numPr>
          <w:ilvl w:val="0"/>
          <w:numId w:val="8"/>
        </w:numPr>
        <w:rPr>
          <w:rFonts w:ascii="Verdana" w:hAnsi="Verdana"/>
          <w:sz w:val="24"/>
          <w:szCs w:val="24"/>
        </w:rPr>
      </w:pPr>
      <w:r>
        <w:rPr>
          <w:rFonts w:ascii="Verdana" w:hAnsi="Verdana"/>
          <w:sz w:val="24"/>
          <w:szCs w:val="24"/>
        </w:rPr>
        <w:t>Has no discretion in supplier selection.</w:t>
      </w:r>
    </w:p>
    <w:p w:rsidR="000B1822" w:rsidRDefault="000B1822" w:rsidP="000B1822">
      <w:pPr>
        <w:pStyle w:val="ListParagraph"/>
        <w:numPr>
          <w:ilvl w:val="0"/>
          <w:numId w:val="8"/>
        </w:numPr>
        <w:rPr>
          <w:rFonts w:ascii="Verdana" w:hAnsi="Verdana"/>
          <w:sz w:val="24"/>
          <w:szCs w:val="24"/>
        </w:rPr>
      </w:pPr>
      <w:r>
        <w:rPr>
          <w:rFonts w:ascii="Verdana" w:hAnsi="Verdana"/>
          <w:sz w:val="24"/>
          <w:szCs w:val="24"/>
        </w:rPr>
        <w:t>Is not involved in product or service specifications.</w:t>
      </w:r>
    </w:p>
    <w:p w:rsidR="000B1822" w:rsidRDefault="000B1822" w:rsidP="000B1822">
      <w:pPr>
        <w:pStyle w:val="ListParagraph"/>
        <w:numPr>
          <w:ilvl w:val="0"/>
          <w:numId w:val="8"/>
        </w:numPr>
        <w:rPr>
          <w:rFonts w:ascii="Verdana" w:hAnsi="Verdana"/>
          <w:sz w:val="24"/>
          <w:szCs w:val="24"/>
        </w:rPr>
      </w:pPr>
      <w:r>
        <w:rPr>
          <w:rFonts w:ascii="Verdana" w:hAnsi="Verdana"/>
          <w:sz w:val="24"/>
          <w:szCs w:val="24"/>
        </w:rPr>
        <w:t>Has no credit risk.</w:t>
      </w:r>
      <w:r>
        <w:rPr>
          <w:rFonts w:ascii="Verdana" w:hAnsi="Verdana"/>
          <w:sz w:val="24"/>
          <w:szCs w:val="24"/>
        </w:rPr>
        <w:br/>
      </w:r>
    </w:p>
    <w:p w:rsidR="000B1822" w:rsidRDefault="000B1822" w:rsidP="000B1822">
      <w:pPr>
        <w:rPr>
          <w:rFonts w:ascii="Verdana" w:hAnsi="Verdana"/>
          <w:sz w:val="24"/>
          <w:szCs w:val="24"/>
        </w:rPr>
      </w:pPr>
      <w:r>
        <w:rPr>
          <w:rFonts w:ascii="Verdana" w:hAnsi="Verdana"/>
          <w:sz w:val="24"/>
          <w:szCs w:val="24"/>
        </w:rPr>
        <w:lastRenderedPageBreak/>
        <w:t xml:space="preserve">If you remain unconvinced, check out SEC </w:t>
      </w:r>
      <w:hyperlink r:id="rId9" w:history="1">
        <w:r w:rsidRPr="00AA096C">
          <w:rPr>
            <w:rStyle w:val="Hyperlink"/>
            <w:rFonts w:ascii="Verdana" w:hAnsi="Verdana"/>
            <w:sz w:val="24"/>
            <w:szCs w:val="24"/>
          </w:rPr>
          <w:t>Staff Accounting Bulletin 101</w:t>
        </w:r>
      </w:hyperlink>
      <w:r>
        <w:rPr>
          <w:rFonts w:ascii="Verdana" w:hAnsi="Verdana"/>
          <w:sz w:val="24"/>
          <w:szCs w:val="24"/>
        </w:rPr>
        <w:t xml:space="preserve"> on </w:t>
      </w:r>
      <w:r w:rsidRPr="000B1822">
        <w:rPr>
          <w:rFonts w:ascii="Verdana" w:hAnsi="Verdana"/>
          <w:i/>
          <w:sz w:val="24"/>
          <w:szCs w:val="24"/>
        </w:rPr>
        <w:t>Revenue Recognition</w:t>
      </w:r>
      <w:r>
        <w:rPr>
          <w:rFonts w:ascii="Verdana" w:hAnsi="Verdana"/>
          <w:sz w:val="24"/>
          <w:szCs w:val="24"/>
        </w:rPr>
        <w:t>, Question 10 specifically.  This example mirrors Groupon</w:t>
      </w:r>
      <w:r w:rsidR="00DA51E0">
        <w:rPr>
          <w:rFonts w:ascii="Verdana" w:hAnsi="Verdana"/>
          <w:sz w:val="24"/>
          <w:szCs w:val="24"/>
        </w:rPr>
        <w:t xml:space="preserve">’s fact pattern except that in the example, the internet company </w:t>
      </w:r>
      <w:r>
        <w:rPr>
          <w:rFonts w:ascii="Verdana" w:hAnsi="Verdana"/>
          <w:sz w:val="24"/>
          <w:szCs w:val="24"/>
        </w:rPr>
        <w:t>actually sells products (not coupons), and offers no “satisfaction guarantee.”</w:t>
      </w:r>
      <w:r w:rsidR="008E26E0">
        <w:rPr>
          <w:rFonts w:ascii="Verdana" w:hAnsi="Verdana"/>
          <w:sz w:val="24"/>
          <w:szCs w:val="24"/>
        </w:rPr>
        <w:t xml:space="preserve">  </w:t>
      </w:r>
      <w:r w:rsidR="00DA51E0">
        <w:rPr>
          <w:rFonts w:ascii="Verdana" w:hAnsi="Verdana"/>
          <w:sz w:val="24"/>
          <w:szCs w:val="24"/>
        </w:rPr>
        <w:t>Even in this case t</w:t>
      </w:r>
      <w:r w:rsidR="008E26E0">
        <w:rPr>
          <w:rFonts w:ascii="Verdana" w:hAnsi="Verdana"/>
          <w:sz w:val="24"/>
          <w:szCs w:val="24"/>
        </w:rPr>
        <w:t>he SEC concludes that revenue should be reported NET</w:t>
      </w:r>
      <w:r w:rsidR="00404CF7">
        <w:rPr>
          <w:rFonts w:ascii="Verdana" w:hAnsi="Verdana"/>
          <w:sz w:val="24"/>
          <w:szCs w:val="24"/>
        </w:rPr>
        <w:t xml:space="preserve"> not GROSS, since the internet company</w:t>
      </w:r>
      <w:r w:rsidR="008E26E0">
        <w:rPr>
          <w:rFonts w:ascii="Verdana" w:hAnsi="Verdana"/>
          <w:sz w:val="24"/>
          <w:szCs w:val="24"/>
        </w:rPr>
        <w:t>:</w:t>
      </w:r>
    </w:p>
    <w:p w:rsidR="008E26E0" w:rsidRDefault="008E26E0" w:rsidP="000B1822">
      <w:pPr>
        <w:rPr>
          <w:rFonts w:ascii="Verdana" w:hAnsi="Verdana"/>
          <w:sz w:val="24"/>
          <w:szCs w:val="24"/>
        </w:rPr>
      </w:pPr>
    </w:p>
    <w:p w:rsidR="008E26E0" w:rsidRDefault="008E26E0" w:rsidP="008E26E0">
      <w:pPr>
        <w:pStyle w:val="ListParagraph"/>
        <w:numPr>
          <w:ilvl w:val="0"/>
          <w:numId w:val="9"/>
        </w:numPr>
        <w:rPr>
          <w:rFonts w:ascii="Verdana" w:hAnsi="Verdana"/>
          <w:sz w:val="24"/>
          <w:szCs w:val="24"/>
        </w:rPr>
      </w:pPr>
      <w:r>
        <w:rPr>
          <w:rFonts w:ascii="Verdana" w:hAnsi="Verdana"/>
          <w:sz w:val="24"/>
          <w:szCs w:val="24"/>
        </w:rPr>
        <w:t>Did</w:t>
      </w:r>
      <w:r w:rsidR="00DA51E0">
        <w:rPr>
          <w:rFonts w:ascii="Verdana" w:hAnsi="Verdana"/>
          <w:sz w:val="24"/>
          <w:szCs w:val="24"/>
        </w:rPr>
        <w:t xml:space="preserve"> not take title to the products,</w:t>
      </w:r>
    </w:p>
    <w:p w:rsidR="008E26E0" w:rsidRDefault="008E26E0" w:rsidP="008E26E0">
      <w:pPr>
        <w:pStyle w:val="ListParagraph"/>
        <w:numPr>
          <w:ilvl w:val="0"/>
          <w:numId w:val="9"/>
        </w:numPr>
        <w:rPr>
          <w:rFonts w:ascii="Verdana" w:hAnsi="Verdana"/>
          <w:sz w:val="24"/>
          <w:szCs w:val="24"/>
        </w:rPr>
      </w:pPr>
      <w:r>
        <w:rPr>
          <w:rFonts w:ascii="Verdana" w:hAnsi="Verdana"/>
          <w:sz w:val="24"/>
          <w:szCs w:val="24"/>
        </w:rPr>
        <w:t>Did not have th</w:t>
      </w:r>
      <w:r w:rsidR="00DA51E0">
        <w:rPr>
          <w:rFonts w:ascii="Verdana" w:hAnsi="Verdana"/>
          <w:sz w:val="24"/>
          <w:szCs w:val="24"/>
        </w:rPr>
        <w:t>e risk and rewards of ownership, and</w:t>
      </w:r>
    </w:p>
    <w:p w:rsidR="008E26E0" w:rsidRPr="008E26E0" w:rsidRDefault="008E26E0" w:rsidP="008E26E0">
      <w:pPr>
        <w:pStyle w:val="ListParagraph"/>
        <w:numPr>
          <w:ilvl w:val="0"/>
          <w:numId w:val="9"/>
        </w:numPr>
        <w:rPr>
          <w:rFonts w:ascii="Verdana" w:hAnsi="Verdana"/>
          <w:sz w:val="24"/>
          <w:szCs w:val="24"/>
        </w:rPr>
      </w:pPr>
      <w:r>
        <w:rPr>
          <w:rFonts w:ascii="Verdana" w:hAnsi="Verdana"/>
          <w:sz w:val="24"/>
          <w:szCs w:val="24"/>
        </w:rPr>
        <w:t xml:space="preserve">Acted </w:t>
      </w:r>
      <w:r w:rsidR="00DA51E0">
        <w:rPr>
          <w:rFonts w:ascii="Verdana" w:hAnsi="Verdana"/>
          <w:sz w:val="24"/>
          <w:szCs w:val="24"/>
        </w:rPr>
        <w:t>as an agent or broker.</w:t>
      </w:r>
    </w:p>
    <w:p w:rsidR="00382D7A" w:rsidRDefault="00382D7A" w:rsidP="006067AB">
      <w:pPr>
        <w:rPr>
          <w:rFonts w:ascii="Verdana" w:hAnsi="Verdana"/>
          <w:sz w:val="24"/>
          <w:szCs w:val="24"/>
        </w:rPr>
      </w:pPr>
    </w:p>
    <w:p w:rsidR="00382D7A" w:rsidRDefault="00DA51E0" w:rsidP="006067AB">
      <w:pPr>
        <w:rPr>
          <w:rFonts w:ascii="Verdana" w:hAnsi="Verdana"/>
          <w:sz w:val="24"/>
          <w:szCs w:val="24"/>
        </w:rPr>
      </w:pPr>
      <w:r>
        <w:rPr>
          <w:rFonts w:ascii="Verdana" w:hAnsi="Verdana"/>
          <w:sz w:val="24"/>
          <w:szCs w:val="24"/>
        </w:rPr>
        <w:t>Clearly, Groupon should report its revenue NET, not gross.  And the Company’s CFO should have known better given his tenure with Amazon as a finance VP in Asia (and as an accountant with Arthur Andersen).  Amazon’s revenue recognition policy clearly states:</w:t>
      </w:r>
    </w:p>
    <w:p w:rsidR="00DA51E0" w:rsidRDefault="00DA51E0" w:rsidP="006067AB">
      <w:pPr>
        <w:rPr>
          <w:rFonts w:ascii="Verdana" w:hAnsi="Verdana"/>
          <w:sz w:val="24"/>
          <w:szCs w:val="24"/>
        </w:rPr>
      </w:pPr>
    </w:p>
    <w:p w:rsidR="00DA51E0" w:rsidRDefault="00DA51E0" w:rsidP="006067AB">
      <w:pPr>
        <w:ind w:left="720" w:right="720"/>
        <w:rPr>
          <w:rFonts w:ascii="Verdana" w:hAnsi="Verdana"/>
          <w:sz w:val="24"/>
          <w:szCs w:val="24"/>
        </w:rPr>
      </w:pPr>
      <w:r w:rsidRPr="000B1E1A">
        <w:rPr>
          <w:rFonts w:ascii="Verdana" w:hAnsi="Verdana"/>
          <w:i/>
          <w:sz w:val="24"/>
          <w:szCs w:val="24"/>
        </w:rPr>
        <w:t>If we are not primarily obligated, and do not have latitude in establishing prices, amounts earned are determined using a fixed percentage, a fixed payment schedule, or a combination of the two,</w:t>
      </w:r>
      <w:r>
        <w:rPr>
          <w:rFonts w:ascii="Verdana" w:hAnsi="Verdana"/>
          <w:sz w:val="24"/>
          <w:szCs w:val="24"/>
        </w:rPr>
        <w:t xml:space="preserve"> </w:t>
      </w:r>
      <w:r w:rsidRPr="000B1E1A">
        <w:rPr>
          <w:rFonts w:ascii="Verdana" w:hAnsi="Verdana"/>
          <w:b/>
          <w:i/>
          <w:sz w:val="24"/>
          <w:szCs w:val="24"/>
        </w:rPr>
        <w:t>we generally record the net amounts as commissions earned</w:t>
      </w:r>
      <w:r>
        <w:rPr>
          <w:rFonts w:ascii="Verdana" w:hAnsi="Verdana"/>
          <w:sz w:val="24"/>
          <w:szCs w:val="24"/>
        </w:rPr>
        <w:t>.</w:t>
      </w:r>
    </w:p>
    <w:p w:rsidR="00382D7A" w:rsidRDefault="00382D7A" w:rsidP="006067AB">
      <w:pPr>
        <w:rPr>
          <w:rFonts w:ascii="Verdana" w:hAnsi="Verdana"/>
          <w:sz w:val="24"/>
          <w:szCs w:val="24"/>
        </w:rPr>
      </w:pPr>
    </w:p>
    <w:p w:rsidR="00382D7A" w:rsidRDefault="000B1E1A" w:rsidP="006067AB">
      <w:pPr>
        <w:rPr>
          <w:rFonts w:ascii="Verdana" w:hAnsi="Verdana"/>
          <w:sz w:val="24"/>
          <w:szCs w:val="24"/>
        </w:rPr>
      </w:pPr>
      <w:r>
        <w:rPr>
          <w:rFonts w:ascii="Verdana" w:hAnsi="Verdana"/>
          <w:sz w:val="24"/>
          <w:szCs w:val="24"/>
        </w:rPr>
        <w:t>So why does Groupon insist on the presentation of gross revenues?  The analyst community is fixated on the “</w:t>
      </w:r>
      <w:proofErr w:type="spellStart"/>
      <w:r>
        <w:rPr>
          <w:rFonts w:ascii="Verdana" w:hAnsi="Verdana"/>
          <w:sz w:val="24"/>
          <w:szCs w:val="24"/>
        </w:rPr>
        <w:t>topline</w:t>
      </w:r>
      <w:proofErr w:type="spellEnd"/>
      <w:r>
        <w:rPr>
          <w:rFonts w:ascii="Verdana" w:hAnsi="Verdana"/>
          <w:sz w:val="24"/>
          <w:szCs w:val="24"/>
        </w:rPr>
        <w:t>,” particularly for start-up enterprises, where revenue growth can signal future prospects even in the absence o</w:t>
      </w:r>
      <w:r w:rsidR="002F15C8">
        <w:rPr>
          <w:rFonts w:ascii="Verdana" w:hAnsi="Verdana"/>
          <w:sz w:val="24"/>
          <w:szCs w:val="24"/>
        </w:rPr>
        <w:t xml:space="preserve">f real cash flows. </w:t>
      </w:r>
      <w:r>
        <w:rPr>
          <w:rFonts w:ascii="Verdana" w:hAnsi="Verdana"/>
          <w:sz w:val="24"/>
          <w:szCs w:val="24"/>
        </w:rPr>
        <w:t xml:space="preserve">This fixation </w:t>
      </w:r>
      <w:r w:rsidR="002F15C8">
        <w:rPr>
          <w:rFonts w:ascii="Verdana" w:hAnsi="Verdana"/>
          <w:sz w:val="24"/>
          <w:szCs w:val="24"/>
        </w:rPr>
        <w:t xml:space="preserve">also </w:t>
      </w:r>
      <w:r>
        <w:rPr>
          <w:rFonts w:ascii="Verdana" w:hAnsi="Verdana"/>
          <w:sz w:val="24"/>
          <w:szCs w:val="24"/>
        </w:rPr>
        <w:t xml:space="preserve">translates directly into inflated valuations which will benefit senior management when the Company goes public.  For example, did you know that the CFO who “blessed” this revenue recognition policy received almost $9.5 million in stock-based compensation in 2010 (26.2% of the Company’s total stock-based compensation for the year)?  </w:t>
      </w:r>
      <w:r w:rsidR="00404CF7">
        <w:rPr>
          <w:rFonts w:ascii="Verdana" w:hAnsi="Verdana"/>
          <w:sz w:val="24"/>
          <w:szCs w:val="24"/>
        </w:rPr>
        <w:t xml:space="preserve">Was this a reward for “creative accounting?” </w:t>
      </w:r>
      <w:r>
        <w:rPr>
          <w:rFonts w:ascii="Verdana" w:hAnsi="Verdana"/>
          <w:sz w:val="24"/>
          <w:szCs w:val="24"/>
        </w:rPr>
        <w:t>Surely, he is not incentivized to promote higher valuations!</w:t>
      </w:r>
      <w:r w:rsidR="002F15C8">
        <w:rPr>
          <w:rFonts w:ascii="Verdana" w:hAnsi="Verdana"/>
          <w:sz w:val="24"/>
          <w:szCs w:val="24"/>
        </w:rPr>
        <w:t xml:space="preserve"> And the inflated revenue amounts also mask the huge increases in stock-based compensation for management as whole.  If revenue were recorded net, stock-based compensation would be 12.93% of revenue for 2010</w:t>
      </w:r>
      <w:r w:rsidR="00404CF7">
        <w:rPr>
          <w:rFonts w:ascii="Verdana" w:hAnsi="Verdana"/>
          <w:sz w:val="24"/>
          <w:szCs w:val="24"/>
        </w:rPr>
        <w:t>, up over 14 times</w:t>
      </w:r>
      <w:r w:rsidR="002F15C8">
        <w:rPr>
          <w:rFonts w:ascii="Verdana" w:hAnsi="Verdana"/>
          <w:sz w:val="24"/>
          <w:szCs w:val="24"/>
        </w:rPr>
        <w:t xml:space="preserve"> from the previous year.  </w:t>
      </w:r>
      <w:r w:rsidR="00977F4C">
        <w:rPr>
          <w:rFonts w:ascii="Verdana" w:hAnsi="Verdana"/>
          <w:sz w:val="24"/>
          <w:szCs w:val="24"/>
        </w:rPr>
        <w:t>We</w:t>
      </w:r>
      <w:r w:rsidR="002F15C8">
        <w:rPr>
          <w:rFonts w:ascii="Verdana" w:hAnsi="Verdana"/>
          <w:sz w:val="24"/>
          <w:szCs w:val="24"/>
        </w:rPr>
        <w:t xml:space="preserve"> can’t imagine why management would want to downplay this figure.</w:t>
      </w:r>
      <w:r w:rsidR="00022FF1">
        <w:rPr>
          <w:rFonts w:ascii="Verdana" w:hAnsi="Verdana"/>
          <w:sz w:val="24"/>
          <w:szCs w:val="24"/>
        </w:rPr>
        <w:t xml:space="preserve">  And given the huge growth in stock-based compensation</w:t>
      </w:r>
      <w:r w:rsidR="00404CF7">
        <w:rPr>
          <w:rFonts w:ascii="Verdana" w:hAnsi="Verdana"/>
          <w:sz w:val="24"/>
          <w:szCs w:val="24"/>
        </w:rPr>
        <w:t xml:space="preserve"> in 2010,</w:t>
      </w:r>
      <w:r w:rsidR="00022FF1">
        <w:rPr>
          <w:rFonts w:ascii="Verdana" w:hAnsi="Verdana"/>
          <w:sz w:val="24"/>
          <w:szCs w:val="24"/>
        </w:rPr>
        <w:t xml:space="preserve"> we </w:t>
      </w:r>
      <w:r w:rsidR="00404CF7">
        <w:rPr>
          <w:rFonts w:ascii="Verdana" w:hAnsi="Verdana"/>
          <w:sz w:val="24"/>
          <w:szCs w:val="24"/>
        </w:rPr>
        <w:t xml:space="preserve">now </w:t>
      </w:r>
      <w:r w:rsidR="00022FF1">
        <w:rPr>
          <w:rFonts w:ascii="Verdana" w:hAnsi="Verdana"/>
          <w:sz w:val="24"/>
          <w:szCs w:val="24"/>
        </w:rPr>
        <w:t>better appreciate why the Company was so adamant about deducting these charges in its ACSOI metric.</w:t>
      </w:r>
    </w:p>
    <w:p w:rsidR="00382D7A" w:rsidRDefault="00382D7A" w:rsidP="006067AB">
      <w:pPr>
        <w:rPr>
          <w:rFonts w:ascii="Verdana" w:hAnsi="Verdana"/>
          <w:sz w:val="24"/>
          <w:szCs w:val="24"/>
        </w:rPr>
      </w:pPr>
    </w:p>
    <w:p w:rsidR="002F15C8" w:rsidRDefault="002F15C8" w:rsidP="006067AB">
      <w:pPr>
        <w:rPr>
          <w:rFonts w:ascii="Verdana" w:hAnsi="Verdana"/>
          <w:sz w:val="24"/>
          <w:szCs w:val="24"/>
        </w:rPr>
      </w:pPr>
      <w:r>
        <w:rPr>
          <w:rFonts w:ascii="Verdana" w:hAnsi="Verdana"/>
          <w:sz w:val="24"/>
          <w:szCs w:val="24"/>
        </w:rPr>
        <w:t xml:space="preserve">But the </w:t>
      </w:r>
      <w:r w:rsidR="00022FF1">
        <w:rPr>
          <w:rFonts w:ascii="Verdana" w:hAnsi="Verdana"/>
          <w:sz w:val="24"/>
          <w:szCs w:val="24"/>
        </w:rPr>
        <w:t xml:space="preserve">income statement </w:t>
      </w:r>
      <w:r w:rsidR="00404CF7">
        <w:rPr>
          <w:rFonts w:ascii="Verdana" w:hAnsi="Verdana"/>
          <w:sz w:val="24"/>
          <w:szCs w:val="24"/>
        </w:rPr>
        <w:t>games don’t</w:t>
      </w:r>
      <w:r>
        <w:rPr>
          <w:rFonts w:ascii="Verdana" w:hAnsi="Verdana"/>
          <w:sz w:val="24"/>
          <w:szCs w:val="24"/>
        </w:rPr>
        <w:t xml:space="preserve"> end there!</w:t>
      </w:r>
      <w:r w:rsidR="009918B5">
        <w:rPr>
          <w:rFonts w:ascii="Verdana" w:hAnsi="Verdana"/>
          <w:sz w:val="24"/>
          <w:szCs w:val="24"/>
        </w:rPr>
        <w:t xml:space="preserve">  We asked ourselves why Groupon made such a big deal about </w:t>
      </w:r>
      <w:r w:rsidR="009918B5" w:rsidRPr="00022FF1">
        <w:rPr>
          <w:rFonts w:ascii="Verdana" w:hAnsi="Verdana"/>
          <w:i/>
          <w:sz w:val="24"/>
          <w:szCs w:val="24"/>
        </w:rPr>
        <w:t>acquisition related expenses</w:t>
      </w:r>
      <w:r w:rsidR="009918B5">
        <w:rPr>
          <w:rFonts w:ascii="Verdana" w:hAnsi="Verdana"/>
          <w:sz w:val="24"/>
          <w:szCs w:val="24"/>
        </w:rPr>
        <w:t xml:space="preserve"> </w:t>
      </w:r>
      <w:r w:rsidR="00022FF1">
        <w:rPr>
          <w:rFonts w:ascii="Verdana" w:hAnsi="Verdana"/>
          <w:sz w:val="24"/>
          <w:szCs w:val="24"/>
        </w:rPr>
        <w:t xml:space="preserve">in its ACSOI measure.  Well, as it turns out, these are not your classic accountant, attorney, consultant, or investment banker fees that we are used to seeing </w:t>
      </w:r>
      <w:r w:rsidR="00022FF1">
        <w:rPr>
          <w:rFonts w:ascii="Verdana" w:hAnsi="Verdana"/>
          <w:sz w:val="24"/>
          <w:szCs w:val="24"/>
        </w:rPr>
        <w:lastRenderedPageBreak/>
        <w:t>in this P&amp;L line item.  Instead, this $</w:t>
      </w:r>
      <w:r w:rsidR="00AA096C">
        <w:rPr>
          <w:rFonts w:ascii="Verdana" w:hAnsi="Verdana"/>
          <w:sz w:val="24"/>
          <w:szCs w:val="24"/>
        </w:rPr>
        <w:t>204</w:t>
      </w:r>
      <w:r w:rsidR="00022FF1">
        <w:rPr>
          <w:rFonts w:ascii="Verdana" w:hAnsi="Verdana"/>
          <w:sz w:val="24"/>
          <w:szCs w:val="24"/>
        </w:rPr>
        <w:t>.2 million amount</w:t>
      </w:r>
      <w:r w:rsidR="00B33BFF">
        <w:rPr>
          <w:rFonts w:ascii="Verdana" w:hAnsi="Verdana"/>
          <w:sz w:val="24"/>
          <w:szCs w:val="24"/>
        </w:rPr>
        <w:t xml:space="preserve"> on page F-15 of the S-1/A ($203.2</w:t>
      </w:r>
      <w:r w:rsidR="00022FF1">
        <w:rPr>
          <w:rFonts w:ascii="Verdana" w:hAnsi="Verdana"/>
          <w:sz w:val="24"/>
          <w:szCs w:val="24"/>
        </w:rPr>
        <w:t xml:space="preserve"> </w:t>
      </w:r>
      <w:r w:rsidR="00B33BFF">
        <w:rPr>
          <w:rFonts w:ascii="Verdana" w:hAnsi="Verdana"/>
          <w:sz w:val="24"/>
          <w:szCs w:val="24"/>
        </w:rPr>
        <w:t xml:space="preserve">million on page F-5) </w:t>
      </w:r>
      <w:r w:rsidR="00022FF1">
        <w:rPr>
          <w:rFonts w:ascii="Verdana" w:hAnsi="Verdana"/>
          <w:sz w:val="24"/>
          <w:szCs w:val="24"/>
        </w:rPr>
        <w:t xml:space="preserve">represents the </w:t>
      </w:r>
      <w:r w:rsidR="00022FF1" w:rsidRPr="00022FF1">
        <w:rPr>
          <w:rFonts w:ascii="Verdana" w:hAnsi="Verdana"/>
          <w:i/>
          <w:sz w:val="24"/>
          <w:szCs w:val="24"/>
        </w:rPr>
        <w:t>correction of an estimation error</w:t>
      </w:r>
      <w:r w:rsidR="00022FF1">
        <w:rPr>
          <w:rFonts w:ascii="Verdana" w:hAnsi="Verdana"/>
          <w:sz w:val="24"/>
          <w:szCs w:val="24"/>
        </w:rPr>
        <w:t xml:space="preserve"> made by Groupon in calculating earn-out payments related to its </w:t>
      </w:r>
      <w:proofErr w:type="spellStart"/>
      <w:r w:rsidR="00022FF1">
        <w:rPr>
          <w:rFonts w:ascii="Verdana" w:hAnsi="Verdana"/>
          <w:sz w:val="24"/>
          <w:szCs w:val="24"/>
        </w:rPr>
        <w:t>CityDeal</w:t>
      </w:r>
      <w:proofErr w:type="spellEnd"/>
      <w:r w:rsidR="00022FF1">
        <w:rPr>
          <w:rFonts w:ascii="Verdana" w:hAnsi="Verdana"/>
          <w:sz w:val="24"/>
          <w:szCs w:val="24"/>
        </w:rPr>
        <w:t xml:space="preserve"> acquisition.  Clearly, management’s estimation prowess, particularly for acquisitions, must be called into question.</w:t>
      </w:r>
    </w:p>
    <w:p w:rsidR="006067AB" w:rsidRDefault="006067AB" w:rsidP="006067AB">
      <w:pPr>
        <w:rPr>
          <w:rFonts w:ascii="Verdana" w:hAnsi="Verdana"/>
          <w:sz w:val="24"/>
          <w:szCs w:val="24"/>
        </w:rPr>
      </w:pPr>
    </w:p>
    <w:p w:rsidR="006067AB" w:rsidRDefault="006067AB" w:rsidP="006067AB">
      <w:pPr>
        <w:rPr>
          <w:rFonts w:ascii="Verdana" w:hAnsi="Verdana"/>
          <w:sz w:val="24"/>
          <w:szCs w:val="24"/>
        </w:rPr>
      </w:pPr>
      <w:r>
        <w:rPr>
          <w:rFonts w:ascii="Verdana" w:hAnsi="Verdana"/>
          <w:sz w:val="24"/>
          <w:szCs w:val="24"/>
        </w:rPr>
        <w:t>And given the earn-out payment bust coupled with the gross revenue issue, shouldn’t we now be concerned about the valuations assigned to the 17 acquisitions done this past year?  First of all, were the deals based on gross revenues?  And is management qualified to do the estimates?  Remember, the Company has actually admitted to an inexperienced finance</w:t>
      </w:r>
      <w:r w:rsidR="00C01527">
        <w:rPr>
          <w:rFonts w:ascii="Verdana" w:hAnsi="Verdana"/>
          <w:sz w:val="24"/>
          <w:szCs w:val="24"/>
        </w:rPr>
        <w:t xml:space="preserve"> and</w:t>
      </w:r>
      <w:r>
        <w:rPr>
          <w:rFonts w:ascii="Verdana" w:hAnsi="Verdana"/>
          <w:sz w:val="24"/>
          <w:szCs w:val="24"/>
        </w:rPr>
        <w:t xml:space="preserve"> accounting staff in its S-1</w:t>
      </w:r>
      <w:r w:rsidR="00014E40">
        <w:rPr>
          <w:rFonts w:ascii="Verdana" w:hAnsi="Verdana"/>
          <w:sz w:val="24"/>
          <w:szCs w:val="24"/>
        </w:rPr>
        <w:t>/A (see page 26)</w:t>
      </w:r>
      <w:r>
        <w:rPr>
          <w:rFonts w:ascii="Verdana" w:hAnsi="Verdana"/>
          <w:sz w:val="24"/>
          <w:szCs w:val="24"/>
        </w:rPr>
        <w:t xml:space="preserve">.  Clearly, investors should be concerned about the goodwill and intangible assets reported by Groupon, particularly the $172.8 associated with the </w:t>
      </w:r>
      <w:proofErr w:type="spellStart"/>
      <w:r>
        <w:rPr>
          <w:rFonts w:ascii="Verdana" w:hAnsi="Verdana"/>
          <w:sz w:val="24"/>
          <w:szCs w:val="24"/>
        </w:rPr>
        <w:t>CityDeal</w:t>
      </w:r>
      <w:proofErr w:type="spellEnd"/>
      <w:r>
        <w:rPr>
          <w:rFonts w:ascii="Verdana" w:hAnsi="Verdana"/>
          <w:sz w:val="24"/>
          <w:szCs w:val="24"/>
        </w:rPr>
        <w:t xml:space="preserve"> (45.3% of the Company’s total assets at the end of 2010).  </w:t>
      </w:r>
      <w:r w:rsidR="00766C74">
        <w:rPr>
          <w:rFonts w:ascii="Verdana" w:hAnsi="Verdana"/>
          <w:sz w:val="24"/>
          <w:szCs w:val="24"/>
        </w:rPr>
        <w:t xml:space="preserve">Impairment write-downs are </w:t>
      </w:r>
      <w:r w:rsidR="00404CF7">
        <w:rPr>
          <w:rFonts w:ascii="Verdana" w:hAnsi="Verdana"/>
          <w:sz w:val="24"/>
          <w:szCs w:val="24"/>
        </w:rPr>
        <w:t xml:space="preserve">likely </w:t>
      </w:r>
      <w:r w:rsidR="00766C74">
        <w:rPr>
          <w:rFonts w:ascii="Verdana" w:hAnsi="Verdana"/>
          <w:sz w:val="24"/>
          <w:szCs w:val="24"/>
        </w:rPr>
        <w:t>in the near future particularly give</w:t>
      </w:r>
      <w:r w:rsidR="003A7C81">
        <w:rPr>
          <w:rFonts w:ascii="Verdana" w:hAnsi="Verdana"/>
          <w:sz w:val="24"/>
          <w:szCs w:val="24"/>
        </w:rPr>
        <w:t>n</w:t>
      </w:r>
      <w:r w:rsidR="00766C74">
        <w:rPr>
          <w:rFonts w:ascii="Verdana" w:hAnsi="Verdana"/>
          <w:sz w:val="24"/>
          <w:szCs w:val="24"/>
        </w:rPr>
        <w:t xml:space="preserve"> the reported operating losses of the inte</w:t>
      </w:r>
      <w:r w:rsidR="003A7C81">
        <w:rPr>
          <w:rFonts w:ascii="Verdana" w:hAnsi="Verdana"/>
          <w:sz w:val="24"/>
          <w:szCs w:val="24"/>
        </w:rPr>
        <w:t>r</w:t>
      </w:r>
      <w:r w:rsidR="00766C74">
        <w:rPr>
          <w:rFonts w:ascii="Verdana" w:hAnsi="Verdana"/>
          <w:sz w:val="24"/>
          <w:szCs w:val="24"/>
        </w:rPr>
        <w:t>national (</w:t>
      </w:r>
      <w:proofErr w:type="spellStart"/>
      <w:r w:rsidR="00766C74">
        <w:rPr>
          <w:rFonts w:ascii="Verdana" w:hAnsi="Verdana"/>
          <w:sz w:val="24"/>
          <w:szCs w:val="24"/>
        </w:rPr>
        <w:t>CityDeal</w:t>
      </w:r>
      <w:proofErr w:type="spellEnd"/>
      <w:r w:rsidR="00766C74">
        <w:rPr>
          <w:rFonts w:ascii="Verdana" w:hAnsi="Verdana"/>
          <w:sz w:val="24"/>
          <w:szCs w:val="24"/>
        </w:rPr>
        <w:t>) segment.</w:t>
      </w:r>
    </w:p>
    <w:p w:rsidR="006067AB" w:rsidRDefault="006067AB" w:rsidP="006067AB">
      <w:pPr>
        <w:rPr>
          <w:rFonts w:ascii="Verdana" w:hAnsi="Verdana"/>
          <w:sz w:val="24"/>
          <w:szCs w:val="24"/>
        </w:rPr>
      </w:pPr>
    </w:p>
    <w:p w:rsidR="006067AB" w:rsidRDefault="00C615A8" w:rsidP="006067AB">
      <w:pPr>
        <w:rPr>
          <w:rFonts w:ascii="Verdana" w:hAnsi="Verdana"/>
          <w:sz w:val="24"/>
          <w:szCs w:val="24"/>
        </w:rPr>
      </w:pPr>
      <w:r>
        <w:rPr>
          <w:rFonts w:ascii="Verdana" w:hAnsi="Verdana"/>
          <w:sz w:val="24"/>
          <w:szCs w:val="24"/>
        </w:rPr>
        <w:t>What else could be wrong you ask?</w:t>
      </w:r>
      <w:r w:rsidR="00766C74">
        <w:rPr>
          <w:rFonts w:ascii="Verdana" w:hAnsi="Verdana"/>
          <w:sz w:val="24"/>
          <w:szCs w:val="24"/>
        </w:rPr>
        <w:t xml:space="preserve">  After downplaying the ACSOI, Groupon has begun touting its 2010 free cash flow of $72.2 million (operating cash flow of $86.9 million less property and equipment purchases of $14.7 million).  Unfortunately, operating and free cash flows are driven solely by the fact that Groupon is dragging its feet in remitting coupon sale payments to its merchants.  Had merchants been paid in a timely fashion, the Company’s free cash flow</w:t>
      </w:r>
      <w:r w:rsidR="006A3845">
        <w:rPr>
          <w:rFonts w:ascii="Verdana" w:hAnsi="Verdana"/>
          <w:sz w:val="24"/>
          <w:szCs w:val="24"/>
        </w:rPr>
        <w:t>s</w:t>
      </w:r>
      <w:r w:rsidR="00766C74">
        <w:rPr>
          <w:rFonts w:ascii="Verdana" w:hAnsi="Verdana"/>
          <w:sz w:val="24"/>
          <w:szCs w:val="24"/>
        </w:rPr>
        <w:t xml:space="preserve"> would likely have been closer to zero and possibly even negative.  Seriously, in a competitive market space, how long does Groupon believe that it can get away with a 60 day payment delay</w:t>
      </w:r>
      <w:r w:rsidR="003A7C81">
        <w:rPr>
          <w:rFonts w:ascii="Verdana" w:hAnsi="Verdana"/>
          <w:sz w:val="24"/>
          <w:szCs w:val="24"/>
        </w:rPr>
        <w:t xml:space="preserve"> (or longer)</w:t>
      </w:r>
      <w:r w:rsidR="00766C74">
        <w:rPr>
          <w:rFonts w:ascii="Verdana" w:hAnsi="Verdana"/>
          <w:sz w:val="24"/>
          <w:szCs w:val="24"/>
        </w:rPr>
        <w:t xml:space="preserve"> to merchants?  Merchants simply cannot </w:t>
      </w:r>
      <w:r w:rsidR="003A7C81">
        <w:rPr>
          <w:rFonts w:ascii="Verdana" w:hAnsi="Verdana"/>
          <w:sz w:val="24"/>
          <w:szCs w:val="24"/>
        </w:rPr>
        <w:t xml:space="preserve">stay in business by </w:t>
      </w:r>
      <w:r w:rsidR="00766C74">
        <w:rPr>
          <w:rFonts w:ascii="Verdana" w:hAnsi="Verdana"/>
          <w:sz w:val="24"/>
          <w:szCs w:val="24"/>
        </w:rPr>
        <w:t>providing services (even discounted ones), two months ahead of payment.</w:t>
      </w:r>
      <w:r w:rsidR="003A7C81">
        <w:rPr>
          <w:rFonts w:ascii="Verdana" w:hAnsi="Verdana"/>
          <w:sz w:val="24"/>
          <w:szCs w:val="24"/>
        </w:rPr>
        <w:t xml:space="preserve">  Simply put, Groupon’s free cash flows aren’t real.  They come from an unusual (and likely temporary) vendor financing model, and are not sustainable.</w:t>
      </w:r>
    </w:p>
    <w:p w:rsidR="006067AB" w:rsidRDefault="006067AB" w:rsidP="006067AB">
      <w:pPr>
        <w:rPr>
          <w:rFonts w:ascii="Verdana" w:hAnsi="Verdana"/>
          <w:sz w:val="24"/>
          <w:szCs w:val="24"/>
        </w:rPr>
      </w:pPr>
    </w:p>
    <w:p w:rsidR="00BB1238" w:rsidRDefault="00014E40" w:rsidP="006067AB">
      <w:pPr>
        <w:rPr>
          <w:rFonts w:ascii="Verdana" w:hAnsi="Verdana"/>
          <w:sz w:val="24"/>
          <w:szCs w:val="24"/>
        </w:rPr>
      </w:pPr>
      <w:r>
        <w:rPr>
          <w:rFonts w:ascii="Verdana" w:hAnsi="Verdana"/>
          <w:sz w:val="24"/>
          <w:szCs w:val="24"/>
        </w:rPr>
        <w:t>As an aside,</w:t>
      </w:r>
      <w:r w:rsidR="00BB1238">
        <w:rPr>
          <w:rFonts w:ascii="Verdana" w:hAnsi="Verdana"/>
          <w:sz w:val="24"/>
          <w:szCs w:val="24"/>
        </w:rPr>
        <w:t xml:space="preserve"> we are amazed that no one has picked up on all the financial reporting red flags emitted by Groupon.  </w:t>
      </w:r>
      <w:r w:rsidR="00EA5B65">
        <w:rPr>
          <w:rFonts w:ascii="Verdana" w:hAnsi="Verdana"/>
          <w:sz w:val="24"/>
          <w:szCs w:val="24"/>
        </w:rPr>
        <w:t>T</w:t>
      </w:r>
      <w:r w:rsidR="00BB1238">
        <w:rPr>
          <w:rFonts w:ascii="Verdana" w:hAnsi="Verdana"/>
          <w:sz w:val="24"/>
          <w:szCs w:val="24"/>
        </w:rPr>
        <w:t>here is the Enron-like marketing pitch employed by Groupon:</w:t>
      </w:r>
    </w:p>
    <w:p w:rsidR="00BB1238" w:rsidRDefault="00BB1238" w:rsidP="006067AB">
      <w:pPr>
        <w:rPr>
          <w:rFonts w:ascii="Verdana" w:hAnsi="Verdana"/>
          <w:sz w:val="24"/>
          <w:szCs w:val="24"/>
        </w:rPr>
      </w:pPr>
    </w:p>
    <w:p w:rsidR="00BB1238" w:rsidRDefault="00BB1238" w:rsidP="00977F4C">
      <w:pPr>
        <w:ind w:left="720" w:right="720"/>
        <w:rPr>
          <w:rFonts w:ascii="Verdana" w:hAnsi="Verdana"/>
          <w:sz w:val="24"/>
          <w:szCs w:val="24"/>
        </w:rPr>
      </w:pPr>
      <w:r w:rsidRPr="00BB1238">
        <w:rPr>
          <w:rFonts w:ascii="Verdana" w:hAnsi="Verdana"/>
          <w:i/>
          <w:sz w:val="24"/>
          <w:szCs w:val="24"/>
        </w:rPr>
        <w:t>We aggressively invest in growth…we are always reinventing ourselves…we are unusual and we like it that way…we don’t measure ourselves in conventional ways (S-1, pages 31 and 32)</w:t>
      </w:r>
      <w:r>
        <w:rPr>
          <w:rFonts w:ascii="Verdana" w:hAnsi="Verdana"/>
          <w:sz w:val="24"/>
          <w:szCs w:val="24"/>
        </w:rPr>
        <w:t>.</w:t>
      </w:r>
    </w:p>
    <w:p w:rsidR="00BB1238" w:rsidRDefault="00BB1238" w:rsidP="00BB1238">
      <w:pPr>
        <w:rPr>
          <w:rFonts w:ascii="Verdana" w:hAnsi="Verdana"/>
          <w:sz w:val="24"/>
          <w:szCs w:val="24"/>
        </w:rPr>
      </w:pPr>
    </w:p>
    <w:p w:rsidR="00014E40" w:rsidRDefault="00014E40" w:rsidP="00BB1238">
      <w:pPr>
        <w:rPr>
          <w:rFonts w:ascii="Verdana" w:hAnsi="Verdana"/>
          <w:sz w:val="24"/>
          <w:szCs w:val="24"/>
        </w:rPr>
      </w:pPr>
      <w:r>
        <w:rPr>
          <w:rFonts w:ascii="Verdana" w:hAnsi="Verdana"/>
          <w:sz w:val="24"/>
          <w:szCs w:val="24"/>
        </w:rPr>
        <w:t>At least they didn’t say they were the smartest guys in the room.</w:t>
      </w:r>
    </w:p>
    <w:p w:rsidR="008F5B68" w:rsidRDefault="008F5B68" w:rsidP="00BB1238">
      <w:pPr>
        <w:rPr>
          <w:rFonts w:ascii="Verdana" w:hAnsi="Verdana"/>
          <w:sz w:val="24"/>
          <w:szCs w:val="24"/>
        </w:rPr>
      </w:pPr>
    </w:p>
    <w:p w:rsidR="009570D4" w:rsidRDefault="00014E40" w:rsidP="00BB1238">
      <w:pPr>
        <w:rPr>
          <w:rFonts w:ascii="Verdana" w:hAnsi="Verdana"/>
          <w:sz w:val="24"/>
          <w:szCs w:val="24"/>
        </w:rPr>
      </w:pPr>
      <w:r>
        <w:rPr>
          <w:rFonts w:ascii="Verdana" w:hAnsi="Verdana"/>
          <w:sz w:val="24"/>
          <w:szCs w:val="24"/>
        </w:rPr>
        <w:lastRenderedPageBreak/>
        <w:t>Finally,</w:t>
      </w:r>
      <w:r w:rsidR="0046582D">
        <w:rPr>
          <w:rFonts w:ascii="Verdana" w:hAnsi="Verdana"/>
          <w:sz w:val="24"/>
          <w:szCs w:val="24"/>
        </w:rPr>
        <w:t xml:space="preserve"> there is the issue of</w:t>
      </w:r>
      <w:r w:rsidR="00BB1238">
        <w:rPr>
          <w:rFonts w:ascii="Verdana" w:hAnsi="Verdana"/>
          <w:sz w:val="24"/>
          <w:szCs w:val="24"/>
        </w:rPr>
        <w:t xml:space="preserve"> adequate internal controls.  It is absolutely ludicrous to think that Groupon is anywhere close to having an effective set of internal controls over financial reporting having done 17 acquisition</w:t>
      </w:r>
      <w:r w:rsidR="0046582D">
        <w:rPr>
          <w:rFonts w:ascii="Verdana" w:hAnsi="Verdana"/>
          <w:sz w:val="24"/>
          <w:szCs w:val="24"/>
        </w:rPr>
        <w:t>s</w:t>
      </w:r>
      <w:r w:rsidR="00BB1238">
        <w:rPr>
          <w:rFonts w:ascii="Verdana" w:hAnsi="Verdana"/>
          <w:sz w:val="24"/>
          <w:szCs w:val="24"/>
        </w:rPr>
        <w:t xml:space="preserve"> in a little over a year.  When a company expands to 45 countries, grows merchants from 212 to 78,466, and </w:t>
      </w:r>
      <w:r w:rsidR="0046582D">
        <w:rPr>
          <w:rFonts w:ascii="Verdana" w:hAnsi="Verdana"/>
          <w:sz w:val="24"/>
          <w:szCs w:val="24"/>
        </w:rPr>
        <w:t xml:space="preserve">expands its employee base from 37 to 9,625 </w:t>
      </w:r>
      <w:r w:rsidR="009570D4">
        <w:rPr>
          <w:rFonts w:ascii="Verdana" w:hAnsi="Verdana"/>
          <w:sz w:val="24"/>
          <w:szCs w:val="24"/>
        </w:rPr>
        <w:t xml:space="preserve">in </w:t>
      </w:r>
      <w:r w:rsidR="0046582D">
        <w:rPr>
          <w:rFonts w:ascii="Verdana" w:hAnsi="Verdana"/>
          <w:sz w:val="24"/>
          <w:szCs w:val="24"/>
        </w:rPr>
        <w:t xml:space="preserve">only two years, there is little doubt that internal controls are not working somewhere.  </w:t>
      </w:r>
      <w:r w:rsidR="00977F4C">
        <w:rPr>
          <w:rFonts w:ascii="Verdana" w:hAnsi="Verdana"/>
          <w:sz w:val="24"/>
          <w:szCs w:val="24"/>
        </w:rPr>
        <w:t xml:space="preserve">Any M&amp;A expert will agree.  </w:t>
      </w:r>
      <w:r w:rsidR="0046582D">
        <w:rPr>
          <w:rFonts w:ascii="Verdana" w:hAnsi="Verdana"/>
          <w:sz w:val="24"/>
          <w:szCs w:val="24"/>
        </w:rPr>
        <w:t xml:space="preserve">And don’t forget that Groupon admitted to having an inexperienced accounting and reporting staff.  </w:t>
      </w:r>
      <w:r w:rsidR="006A6555">
        <w:rPr>
          <w:rFonts w:ascii="Verdana" w:hAnsi="Verdana"/>
          <w:sz w:val="24"/>
          <w:szCs w:val="24"/>
        </w:rPr>
        <w:t>Note that Ernst &amp; Young supplied an audit opinion about the financial statements but not about the entity’s internal control system.  E&amp;Y instead points out</w:t>
      </w:r>
      <w:r w:rsidR="006A6555" w:rsidRPr="006A6555">
        <w:rPr>
          <w:rFonts w:ascii="Verdana" w:hAnsi="Verdana"/>
          <w:sz w:val="24"/>
          <w:szCs w:val="24"/>
        </w:rPr>
        <w:t xml:space="preserve">, </w:t>
      </w:r>
      <w:r w:rsidR="00D531CB" w:rsidRPr="00D531CB">
        <w:rPr>
          <w:rFonts w:ascii="Verdana" w:hAnsi="Verdana"/>
          <w:i/>
          <w:sz w:val="24"/>
          <w:szCs w:val="24"/>
        </w:rPr>
        <w:t>“</w:t>
      </w:r>
      <w:r w:rsidR="00D531CB" w:rsidRPr="00D531CB">
        <w:rPr>
          <w:rFonts w:ascii="Verdana" w:hAnsi="Verdana" w:cs="Times"/>
          <w:i/>
          <w:sz w:val="24"/>
          <w:szCs w:val="24"/>
        </w:rPr>
        <w:t>We were not engaged to perform an audit of the Company's internal control over financial reporting. Our audits included consideration of internal control over financial reporting as a basis for designing audit procedures that are appropriate in the circumstances, but not for the purpose of expressing an opinion on the effectiveness of the Company's internal control over financial reporting.”</w:t>
      </w:r>
      <w:r w:rsidR="00D531CB" w:rsidRPr="00D531CB">
        <w:rPr>
          <w:rFonts w:ascii="Verdana" w:hAnsi="Verdana" w:cs="Times"/>
          <w:sz w:val="24"/>
          <w:szCs w:val="24"/>
        </w:rPr>
        <w:t xml:space="preserve">  </w:t>
      </w:r>
      <w:r w:rsidR="0046582D">
        <w:rPr>
          <w:rFonts w:ascii="Verdana" w:hAnsi="Verdana"/>
          <w:sz w:val="24"/>
          <w:szCs w:val="24"/>
        </w:rPr>
        <w:t xml:space="preserve">So </w:t>
      </w:r>
      <w:r w:rsidR="00977F4C">
        <w:rPr>
          <w:rFonts w:ascii="Verdana" w:hAnsi="Verdana"/>
          <w:sz w:val="24"/>
          <w:szCs w:val="24"/>
        </w:rPr>
        <w:t xml:space="preserve">we ask </w:t>
      </w:r>
      <w:r w:rsidR="0046582D">
        <w:rPr>
          <w:rFonts w:ascii="Verdana" w:hAnsi="Verdana"/>
          <w:sz w:val="24"/>
          <w:szCs w:val="24"/>
        </w:rPr>
        <w:t>how have these weak or nonexistent controls affected the numbers Groupon reports?</w:t>
      </w:r>
      <w:r w:rsidR="006A6555">
        <w:rPr>
          <w:rFonts w:ascii="Verdana" w:hAnsi="Verdana"/>
          <w:sz w:val="24"/>
          <w:szCs w:val="24"/>
        </w:rPr>
        <w:t xml:space="preserve">  Can we trust these numbers?</w:t>
      </w:r>
      <w:r w:rsidR="0046582D">
        <w:rPr>
          <w:rFonts w:ascii="Verdana" w:hAnsi="Verdana"/>
          <w:sz w:val="24"/>
          <w:szCs w:val="24"/>
        </w:rPr>
        <w:br/>
      </w:r>
      <w:r w:rsidR="0046582D">
        <w:rPr>
          <w:rFonts w:ascii="Verdana" w:hAnsi="Verdana"/>
          <w:sz w:val="24"/>
          <w:szCs w:val="24"/>
        </w:rPr>
        <w:br/>
        <w:t xml:space="preserve">So what needs to be done?  After reading our rant, hopefully the SEC will ask Groupon to restate its financial statements for the past three years to adjust its reported revenues, </w:t>
      </w:r>
      <w:r w:rsidR="009570D4">
        <w:rPr>
          <w:rFonts w:ascii="Verdana" w:hAnsi="Verdana"/>
          <w:sz w:val="24"/>
          <w:szCs w:val="24"/>
        </w:rPr>
        <w:t xml:space="preserve">and </w:t>
      </w:r>
      <w:r w:rsidR="0046582D">
        <w:rPr>
          <w:rFonts w:ascii="Verdana" w:hAnsi="Verdana"/>
          <w:sz w:val="24"/>
          <w:szCs w:val="24"/>
        </w:rPr>
        <w:t>enhance disclosure about acquisition related expenses</w:t>
      </w:r>
      <w:r w:rsidR="009570D4">
        <w:rPr>
          <w:rFonts w:ascii="Verdana" w:hAnsi="Verdana"/>
          <w:sz w:val="24"/>
          <w:szCs w:val="24"/>
        </w:rPr>
        <w:t>, and operating cash flows</w:t>
      </w:r>
      <w:r w:rsidR="006A6555">
        <w:rPr>
          <w:rFonts w:ascii="Verdana" w:hAnsi="Verdana"/>
          <w:sz w:val="24"/>
          <w:szCs w:val="24"/>
        </w:rPr>
        <w:t xml:space="preserve"> and to have an audit of its internal control system</w:t>
      </w:r>
      <w:r w:rsidR="0046582D">
        <w:rPr>
          <w:rFonts w:ascii="Verdana" w:hAnsi="Verdana"/>
          <w:sz w:val="24"/>
          <w:szCs w:val="24"/>
        </w:rPr>
        <w:t xml:space="preserve">.  </w:t>
      </w:r>
    </w:p>
    <w:p w:rsidR="009570D4" w:rsidRDefault="009570D4" w:rsidP="00BB1238">
      <w:pPr>
        <w:rPr>
          <w:rFonts w:ascii="Verdana" w:hAnsi="Verdana"/>
          <w:sz w:val="24"/>
          <w:szCs w:val="24"/>
        </w:rPr>
      </w:pPr>
    </w:p>
    <w:p w:rsidR="00BB1238" w:rsidRDefault="009570D4" w:rsidP="00BB1238">
      <w:pPr>
        <w:rPr>
          <w:rFonts w:ascii="Verdana" w:hAnsi="Verdana"/>
          <w:sz w:val="24"/>
          <w:szCs w:val="24"/>
        </w:rPr>
      </w:pPr>
      <w:r>
        <w:rPr>
          <w:rFonts w:ascii="Verdana" w:hAnsi="Verdana"/>
          <w:sz w:val="24"/>
          <w:szCs w:val="24"/>
        </w:rPr>
        <w:t>That’s it until we get the next Groupon amended S-1.</w:t>
      </w:r>
      <w:r w:rsidR="0046582D">
        <w:rPr>
          <w:rFonts w:ascii="Verdana" w:hAnsi="Verdana"/>
          <w:sz w:val="24"/>
          <w:szCs w:val="24"/>
        </w:rPr>
        <w:br/>
      </w:r>
    </w:p>
    <w:p w:rsidR="00A21E7A" w:rsidRDefault="00A21E7A" w:rsidP="00BB1238">
      <w:pPr>
        <w:rPr>
          <w:rFonts w:ascii="Verdana" w:hAnsi="Verdana"/>
          <w:sz w:val="24"/>
          <w:szCs w:val="24"/>
        </w:rPr>
      </w:pPr>
    </w:p>
    <w:p w:rsidR="00A21E7A" w:rsidRDefault="00A21E7A" w:rsidP="00BB1238">
      <w:pPr>
        <w:rPr>
          <w:rFonts w:ascii="Verdana" w:hAnsi="Verdana"/>
          <w:sz w:val="24"/>
          <w:szCs w:val="24"/>
        </w:rPr>
      </w:pPr>
    </w:p>
    <w:p w:rsidR="00A21E7A" w:rsidRPr="00BB1238" w:rsidRDefault="00A21E7A" w:rsidP="00BB1238">
      <w:pPr>
        <w:rPr>
          <w:rFonts w:ascii="Verdana" w:hAnsi="Verdana"/>
          <w:sz w:val="24"/>
          <w:szCs w:val="24"/>
        </w:rPr>
      </w:pPr>
    </w:p>
    <w:p w:rsidR="00CB321A" w:rsidRDefault="00CB321A" w:rsidP="00CB321A">
      <w:pPr>
        <w:rPr>
          <w:rFonts w:ascii="Verdana" w:hAnsi="Verdana"/>
          <w:sz w:val="24"/>
          <w:szCs w:val="24"/>
        </w:rPr>
      </w:pPr>
      <w:r w:rsidRPr="00CB321A">
        <w:rPr>
          <w:rFonts w:ascii="Verdana" w:hAnsi="Verdana"/>
          <w:sz w:val="24"/>
          <w:szCs w:val="24"/>
        </w:rPr>
        <w:t>Additional insights</w:t>
      </w:r>
      <w:r>
        <w:rPr>
          <w:rFonts w:ascii="Verdana" w:hAnsi="Verdana"/>
          <w:sz w:val="24"/>
          <w:szCs w:val="24"/>
        </w:rPr>
        <w:t xml:space="preserve"> regarding Groupon that affect financial reporting </w:t>
      </w:r>
      <w:r w:rsidRPr="00CB321A">
        <w:rPr>
          <w:rFonts w:ascii="Verdana" w:hAnsi="Verdana"/>
          <w:sz w:val="24"/>
          <w:szCs w:val="24"/>
        </w:rPr>
        <w:t>can be found at:</w:t>
      </w:r>
    </w:p>
    <w:p w:rsidR="00CB321A" w:rsidRPr="00CB321A" w:rsidRDefault="00CB321A" w:rsidP="00CB321A">
      <w:pPr>
        <w:rPr>
          <w:rFonts w:ascii="Verdana" w:hAnsi="Verdana"/>
          <w:sz w:val="24"/>
          <w:szCs w:val="24"/>
        </w:rPr>
      </w:pPr>
    </w:p>
    <w:p w:rsidR="00CB321A" w:rsidRDefault="00CB321A" w:rsidP="00CB321A">
      <w:pPr>
        <w:pBdr>
          <w:bottom w:val="thinThickThinMediumGap" w:sz="18" w:space="0" w:color="auto"/>
        </w:pBdr>
        <w:rPr>
          <w:rFonts w:ascii="Verdana" w:hAnsi="Verdana"/>
          <w:sz w:val="24"/>
          <w:szCs w:val="24"/>
        </w:rPr>
      </w:pPr>
      <w:r w:rsidRPr="00CB321A">
        <w:rPr>
          <w:rFonts w:ascii="Verdana" w:hAnsi="Verdana"/>
          <w:sz w:val="24"/>
          <w:szCs w:val="24"/>
        </w:rPr>
        <w:t>Groupon's Main Problem Is That It Hasn't Yet Discovered A Viable Business Model</w:t>
      </w:r>
      <w:r>
        <w:rPr>
          <w:rFonts w:ascii="Verdana" w:hAnsi="Verdana"/>
          <w:sz w:val="24"/>
          <w:szCs w:val="24"/>
        </w:rPr>
        <w:t xml:space="preserve"> - </w:t>
      </w:r>
      <w:hyperlink r:id="rId10" w:history="1">
        <w:r w:rsidRPr="00CC6139">
          <w:rPr>
            <w:rStyle w:val="Hyperlink"/>
            <w:rFonts w:ascii="Verdana" w:hAnsi="Verdana"/>
            <w:sz w:val="24"/>
            <w:szCs w:val="24"/>
          </w:rPr>
          <w:t>http://www.businessinsider.com/groupons-main-problem-is-that-it-hasnt-yet-discovered-a-viable-business-model-2011-8</w:t>
        </w:r>
      </w:hyperlink>
    </w:p>
    <w:p w:rsidR="00CB321A" w:rsidRDefault="00CB321A" w:rsidP="00CB321A">
      <w:pPr>
        <w:pBdr>
          <w:bottom w:val="thinThickThinMediumGap" w:sz="18" w:space="0" w:color="auto"/>
        </w:pBdr>
        <w:rPr>
          <w:rFonts w:ascii="Verdana" w:hAnsi="Verdana"/>
          <w:sz w:val="24"/>
          <w:szCs w:val="24"/>
        </w:rPr>
      </w:pPr>
    </w:p>
    <w:p w:rsidR="00694AA8" w:rsidRDefault="00694AA8" w:rsidP="00CB321A">
      <w:pPr>
        <w:pBdr>
          <w:bottom w:val="thinThickThinMediumGap" w:sz="18" w:space="0" w:color="auto"/>
        </w:pBdr>
        <w:rPr>
          <w:rFonts w:ascii="Verdana" w:hAnsi="Verdana"/>
          <w:sz w:val="24"/>
          <w:szCs w:val="24"/>
        </w:rPr>
      </w:pPr>
      <w:r>
        <w:rPr>
          <w:rFonts w:ascii="Verdana" w:hAnsi="Verdana"/>
          <w:sz w:val="24"/>
          <w:szCs w:val="24"/>
        </w:rPr>
        <w:t xml:space="preserve">Groupon’s Other Funny Numbers - </w:t>
      </w:r>
      <w:hyperlink r:id="rId11" w:history="1">
        <w:r w:rsidRPr="00CC6139">
          <w:rPr>
            <w:rStyle w:val="Hyperlink"/>
            <w:rFonts w:ascii="Verdana" w:hAnsi="Verdana"/>
            <w:sz w:val="24"/>
            <w:szCs w:val="24"/>
          </w:rPr>
          <w:t>http://blog.agrawals.org/2011/08/08/groupons-other-funny-numbers/</w:t>
        </w:r>
      </w:hyperlink>
    </w:p>
    <w:p w:rsidR="00694AA8" w:rsidRDefault="00694AA8" w:rsidP="00CB321A">
      <w:pPr>
        <w:pBdr>
          <w:bottom w:val="thinThickThinMediumGap" w:sz="18" w:space="0" w:color="auto"/>
        </w:pBdr>
        <w:rPr>
          <w:rFonts w:ascii="Verdana" w:hAnsi="Verdana"/>
          <w:sz w:val="24"/>
          <w:szCs w:val="24"/>
        </w:rPr>
      </w:pPr>
    </w:p>
    <w:p w:rsidR="003B6E6E" w:rsidRDefault="003B6E6E" w:rsidP="005679C2">
      <w:pPr>
        <w:pBdr>
          <w:bottom w:val="thinThickThinMediumGap" w:sz="18" w:space="0" w:color="auto"/>
        </w:pBdr>
        <w:rPr>
          <w:rFonts w:ascii="Verdana" w:hAnsi="Verdana"/>
          <w:sz w:val="24"/>
          <w:szCs w:val="24"/>
        </w:rPr>
      </w:pPr>
    </w:p>
    <w:p w:rsidR="003B6E6E" w:rsidRDefault="003B6E6E" w:rsidP="003B6E6E">
      <w:pPr>
        <w:rPr>
          <w:rFonts w:ascii="Verdana" w:hAnsi="Verdana"/>
          <w:sz w:val="24"/>
          <w:szCs w:val="24"/>
        </w:rPr>
      </w:pPr>
    </w:p>
    <w:p w:rsidR="005679C2" w:rsidRPr="00A56122" w:rsidRDefault="003B6E6E" w:rsidP="005679C2">
      <w:pPr>
        <w:pStyle w:val="BodyText"/>
        <w:spacing w:line="240" w:lineRule="auto"/>
        <w:rPr>
          <w:rFonts w:ascii="Verdana" w:hAnsi="Verdana"/>
          <w:i/>
        </w:rPr>
      </w:pPr>
      <w:r w:rsidRPr="00A56122">
        <w:rPr>
          <w:rFonts w:ascii="Verdana" w:hAnsi="Verdana"/>
          <w:i/>
        </w:rPr>
        <w:lastRenderedPageBreak/>
        <w:t xml:space="preserve">This essay reflects the opinion of the authors and not necessarily the opinions of The </w:t>
      </w:r>
      <w:smartTag w:uri="urn:schemas-microsoft-com:office:smarttags" w:element="PlaceName">
        <w:r w:rsidRPr="00A56122">
          <w:rPr>
            <w:rFonts w:ascii="Verdana" w:hAnsi="Verdana"/>
            <w:i/>
          </w:rPr>
          <w:t>Pennsylvania</w:t>
        </w:r>
      </w:smartTag>
      <w:r w:rsidRPr="00A56122">
        <w:rPr>
          <w:rFonts w:ascii="Verdana" w:hAnsi="Verdana"/>
          <w:i/>
        </w:rPr>
        <w:t xml:space="preserve"> </w:t>
      </w:r>
      <w:smartTag w:uri="urn:schemas-microsoft-com:office:smarttags" w:element="PlaceType">
        <w:r w:rsidRPr="00A56122">
          <w:rPr>
            <w:rFonts w:ascii="Verdana" w:hAnsi="Verdana"/>
            <w:i/>
          </w:rPr>
          <w:t>State</w:t>
        </w:r>
      </w:smartTag>
      <w:r w:rsidRPr="00A56122">
        <w:rPr>
          <w:rFonts w:ascii="Verdana" w:hAnsi="Verdana"/>
          <w:i/>
        </w:rPr>
        <w:t xml:space="preserve"> University, The American College, or Villanova University.</w:t>
      </w:r>
    </w:p>
    <w:p w:rsidR="005679C2" w:rsidRPr="00A56122" w:rsidRDefault="005679C2" w:rsidP="005679C2">
      <w:pPr>
        <w:pBdr>
          <w:bottom w:val="thinThickThinMediumGap" w:sz="18" w:space="0" w:color="auto"/>
        </w:pBdr>
        <w:rPr>
          <w:rFonts w:ascii="Verdana" w:hAnsi="Verdana"/>
        </w:rPr>
      </w:pPr>
    </w:p>
    <w:sectPr w:rsidR="005679C2" w:rsidRPr="00A56122" w:rsidSect="00626C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9761D"/>
    <w:multiLevelType w:val="hybridMultilevel"/>
    <w:tmpl w:val="11AA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6621E6"/>
    <w:multiLevelType w:val="hybridMultilevel"/>
    <w:tmpl w:val="4D52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2F5BF1"/>
    <w:multiLevelType w:val="hybridMultilevel"/>
    <w:tmpl w:val="F416A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160621"/>
    <w:multiLevelType w:val="hybridMultilevel"/>
    <w:tmpl w:val="9D6E3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171F92"/>
    <w:multiLevelType w:val="hybridMultilevel"/>
    <w:tmpl w:val="BEE61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E405A1"/>
    <w:multiLevelType w:val="hybridMultilevel"/>
    <w:tmpl w:val="6118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F50598"/>
    <w:multiLevelType w:val="hybridMultilevel"/>
    <w:tmpl w:val="AE18808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7">
    <w:nsid w:val="5BFA481A"/>
    <w:multiLevelType w:val="hybridMultilevel"/>
    <w:tmpl w:val="A432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2330C7"/>
    <w:multiLevelType w:val="hybridMultilevel"/>
    <w:tmpl w:val="EA08E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A12ACC"/>
    <w:multiLevelType w:val="hybridMultilevel"/>
    <w:tmpl w:val="4156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0"/>
  </w:num>
  <w:num w:numId="5">
    <w:abstractNumId w:val="9"/>
  </w:num>
  <w:num w:numId="6">
    <w:abstractNumId w:val="5"/>
  </w:num>
  <w:num w:numId="7">
    <w:abstractNumId w:val="6"/>
  </w:num>
  <w:num w:numId="8">
    <w:abstractNumId w:val="8"/>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3A627B"/>
    <w:rsid w:val="00014E40"/>
    <w:rsid w:val="00022FF1"/>
    <w:rsid w:val="00023583"/>
    <w:rsid w:val="000374C2"/>
    <w:rsid w:val="00081916"/>
    <w:rsid w:val="0008518C"/>
    <w:rsid w:val="00093316"/>
    <w:rsid w:val="000A693D"/>
    <w:rsid w:val="000B1822"/>
    <w:rsid w:val="000B1E1A"/>
    <w:rsid w:val="000E2E4F"/>
    <w:rsid w:val="00123CF1"/>
    <w:rsid w:val="001374A9"/>
    <w:rsid w:val="00144937"/>
    <w:rsid w:val="001553FD"/>
    <w:rsid w:val="001631C4"/>
    <w:rsid w:val="001978FB"/>
    <w:rsid w:val="001A35D6"/>
    <w:rsid w:val="001C5C9F"/>
    <w:rsid w:val="002254DA"/>
    <w:rsid w:val="002813DE"/>
    <w:rsid w:val="00285D9E"/>
    <w:rsid w:val="002E472C"/>
    <w:rsid w:val="002F15C8"/>
    <w:rsid w:val="00316C9F"/>
    <w:rsid w:val="00382D7A"/>
    <w:rsid w:val="00383ECD"/>
    <w:rsid w:val="00387AD3"/>
    <w:rsid w:val="0039366C"/>
    <w:rsid w:val="00394F33"/>
    <w:rsid w:val="0039799F"/>
    <w:rsid w:val="003A627B"/>
    <w:rsid w:val="003A7C81"/>
    <w:rsid w:val="003B6E6E"/>
    <w:rsid w:val="003F6FEC"/>
    <w:rsid w:val="00404CF7"/>
    <w:rsid w:val="00441449"/>
    <w:rsid w:val="004534FA"/>
    <w:rsid w:val="0046582D"/>
    <w:rsid w:val="00465E6E"/>
    <w:rsid w:val="00471A13"/>
    <w:rsid w:val="004C7821"/>
    <w:rsid w:val="004D1C9B"/>
    <w:rsid w:val="004D3D8E"/>
    <w:rsid w:val="004D6BFC"/>
    <w:rsid w:val="004E7B9C"/>
    <w:rsid w:val="0050716A"/>
    <w:rsid w:val="00547265"/>
    <w:rsid w:val="005679C2"/>
    <w:rsid w:val="005877D3"/>
    <w:rsid w:val="005B7BA1"/>
    <w:rsid w:val="005C7FC3"/>
    <w:rsid w:val="006067AB"/>
    <w:rsid w:val="00626CA8"/>
    <w:rsid w:val="00690BAC"/>
    <w:rsid w:val="00694AA8"/>
    <w:rsid w:val="006A3845"/>
    <w:rsid w:val="006A6555"/>
    <w:rsid w:val="006A7CF1"/>
    <w:rsid w:val="006E78DF"/>
    <w:rsid w:val="006F2885"/>
    <w:rsid w:val="007069CC"/>
    <w:rsid w:val="00766C74"/>
    <w:rsid w:val="007A54C7"/>
    <w:rsid w:val="00825D4D"/>
    <w:rsid w:val="00830A0B"/>
    <w:rsid w:val="00834103"/>
    <w:rsid w:val="00847F54"/>
    <w:rsid w:val="00870684"/>
    <w:rsid w:val="00874083"/>
    <w:rsid w:val="00885921"/>
    <w:rsid w:val="008A57DC"/>
    <w:rsid w:val="008D2071"/>
    <w:rsid w:val="008E26E0"/>
    <w:rsid w:val="008F5B68"/>
    <w:rsid w:val="00940DA8"/>
    <w:rsid w:val="009552D6"/>
    <w:rsid w:val="009570D4"/>
    <w:rsid w:val="00974768"/>
    <w:rsid w:val="00977F4C"/>
    <w:rsid w:val="00980598"/>
    <w:rsid w:val="009918B5"/>
    <w:rsid w:val="009A26FD"/>
    <w:rsid w:val="009A5107"/>
    <w:rsid w:val="00A02E34"/>
    <w:rsid w:val="00A21E7A"/>
    <w:rsid w:val="00A56122"/>
    <w:rsid w:val="00A863AE"/>
    <w:rsid w:val="00AA096C"/>
    <w:rsid w:val="00AB5DEF"/>
    <w:rsid w:val="00AE44C0"/>
    <w:rsid w:val="00B22B1B"/>
    <w:rsid w:val="00B33BFF"/>
    <w:rsid w:val="00B7570A"/>
    <w:rsid w:val="00B91C46"/>
    <w:rsid w:val="00BB1238"/>
    <w:rsid w:val="00BC1DB8"/>
    <w:rsid w:val="00BD0889"/>
    <w:rsid w:val="00BD1C30"/>
    <w:rsid w:val="00BD4859"/>
    <w:rsid w:val="00BF663F"/>
    <w:rsid w:val="00C01527"/>
    <w:rsid w:val="00C04A39"/>
    <w:rsid w:val="00C06C9A"/>
    <w:rsid w:val="00C17B64"/>
    <w:rsid w:val="00C20FD2"/>
    <w:rsid w:val="00C221FD"/>
    <w:rsid w:val="00C40DDB"/>
    <w:rsid w:val="00C51A4F"/>
    <w:rsid w:val="00C615A8"/>
    <w:rsid w:val="00C7386E"/>
    <w:rsid w:val="00C7754C"/>
    <w:rsid w:val="00C83508"/>
    <w:rsid w:val="00C91375"/>
    <w:rsid w:val="00CA4259"/>
    <w:rsid w:val="00CB321A"/>
    <w:rsid w:val="00CD0E7F"/>
    <w:rsid w:val="00D04C30"/>
    <w:rsid w:val="00D15B07"/>
    <w:rsid w:val="00D531CB"/>
    <w:rsid w:val="00D552C9"/>
    <w:rsid w:val="00DA51E0"/>
    <w:rsid w:val="00DA78CD"/>
    <w:rsid w:val="00E0530E"/>
    <w:rsid w:val="00E123DA"/>
    <w:rsid w:val="00E12EC2"/>
    <w:rsid w:val="00E153D2"/>
    <w:rsid w:val="00E318EE"/>
    <w:rsid w:val="00E46A15"/>
    <w:rsid w:val="00E656F7"/>
    <w:rsid w:val="00E81155"/>
    <w:rsid w:val="00EA5B65"/>
    <w:rsid w:val="00ED3830"/>
    <w:rsid w:val="00EE6A29"/>
    <w:rsid w:val="00F063E7"/>
    <w:rsid w:val="00F31FB7"/>
    <w:rsid w:val="00F65635"/>
    <w:rsid w:val="00F7237C"/>
    <w:rsid w:val="00F724B2"/>
    <w:rsid w:val="00F77019"/>
    <w:rsid w:val="00F8568F"/>
    <w:rsid w:val="00F95297"/>
    <w:rsid w:val="00FC520E"/>
    <w:rsid w:val="00FE67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CA8"/>
  </w:style>
  <w:style w:type="paragraph" w:styleId="Heading5">
    <w:name w:val="heading 5"/>
    <w:basedOn w:val="Normal"/>
    <w:link w:val="Heading5Char"/>
    <w:uiPriority w:val="9"/>
    <w:qFormat/>
    <w:rsid w:val="00AB5DEF"/>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C46"/>
    <w:pPr>
      <w:ind w:left="720"/>
      <w:contextualSpacing/>
    </w:pPr>
  </w:style>
  <w:style w:type="paragraph" w:styleId="BalloonText">
    <w:name w:val="Balloon Text"/>
    <w:basedOn w:val="Normal"/>
    <w:link w:val="BalloonTextChar"/>
    <w:uiPriority w:val="99"/>
    <w:semiHidden/>
    <w:unhideWhenUsed/>
    <w:rsid w:val="00B91C46"/>
    <w:rPr>
      <w:rFonts w:ascii="Tahoma" w:hAnsi="Tahoma" w:cs="Tahoma"/>
      <w:sz w:val="16"/>
      <w:szCs w:val="16"/>
    </w:rPr>
  </w:style>
  <w:style w:type="character" w:customStyle="1" w:styleId="BalloonTextChar">
    <w:name w:val="Balloon Text Char"/>
    <w:basedOn w:val="DefaultParagraphFont"/>
    <w:link w:val="BalloonText"/>
    <w:uiPriority w:val="99"/>
    <w:semiHidden/>
    <w:rsid w:val="00B91C46"/>
    <w:rPr>
      <w:rFonts w:ascii="Tahoma" w:hAnsi="Tahoma" w:cs="Tahoma"/>
      <w:sz w:val="16"/>
      <w:szCs w:val="16"/>
    </w:rPr>
  </w:style>
  <w:style w:type="character" w:styleId="CommentReference">
    <w:name w:val="annotation reference"/>
    <w:basedOn w:val="DefaultParagraphFont"/>
    <w:uiPriority w:val="99"/>
    <w:semiHidden/>
    <w:unhideWhenUsed/>
    <w:rsid w:val="005679C2"/>
    <w:rPr>
      <w:sz w:val="16"/>
      <w:szCs w:val="16"/>
    </w:rPr>
  </w:style>
  <w:style w:type="paragraph" w:styleId="CommentText">
    <w:name w:val="annotation text"/>
    <w:basedOn w:val="Normal"/>
    <w:link w:val="CommentTextChar"/>
    <w:uiPriority w:val="99"/>
    <w:semiHidden/>
    <w:unhideWhenUsed/>
    <w:rsid w:val="005679C2"/>
    <w:rPr>
      <w:sz w:val="20"/>
      <w:szCs w:val="20"/>
    </w:rPr>
  </w:style>
  <w:style w:type="character" w:customStyle="1" w:styleId="CommentTextChar">
    <w:name w:val="Comment Text Char"/>
    <w:basedOn w:val="DefaultParagraphFont"/>
    <w:link w:val="CommentText"/>
    <w:uiPriority w:val="99"/>
    <w:semiHidden/>
    <w:rsid w:val="005679C2"/>
    <w:rPr>
      <w:sz w:val="20"/>
      <w:szCs w:val="20"/>
    </w:rPr>
  </w:style>
  <w:style w:type="paragraph" w:styleId="CommentSubject">
    <w:name w:val="annotation subject"/>
    <w:basedOn w:val="CommentText"/>
    <w:next w:val="CommentText"/>
    <w:link w:val="CommentSubjectChar"/>
    <w:uiPriority w:val="99"/>
    <w:semiHidden/>
    <w:unhideWhenUsed/>
    <w:rsid w:val="005679C2"/>
    <w:rPr>
      <w:b/>
      <w:bCs/>
    </w:rPr>
  </w:style>
  <w:style w:type="character" w:customStyle="1" w:styleId="CommentSubjectChar">
    <w:name w:val="Comment Subject Char"/>
    <w:basedOn w:val="CommentTextChar"/>
    <w:link w:val="CommentSubject"/>
    <w:uiPriority w:val="99"/>
    <w:semiHidden/>
    <w:rsid w:val="005679C2"/>
    <w:rPr>
      <w:b/>
      <w:bCs/>
    </w:rPr>
  </w:style>
  <w:style w:type="paragraph" w:styleId="BodyText">
    <w:name w:val="Body Text"/>
    <w:basedOn w:val="Normal"/>
    <w:link w:val="BodyTextChar"/>
    <w:rsid w:val="005679C2"/>
    <w:pPr>
      <w:spacing w:line="48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679C2"/>
    <w:rPr>
      <w:rFonts w:ascii="Times New Roman" w:eastAsia="Times New Roman" w:hAnsi="Times New Roman" w:cs="Times New Roman"/>
      <w:sz w:val="24"/>
      <w:szCs w:val="20"/>
    </w:rPr>
  </w:style>
  <w:style w:type="paragraph" w:styleId="BodyTextIndent">
    <w:name w:val="Body Text Indent"/>
    <w:basedOn w:val="Normal"/>
    <w:link w:val="BodyTextIndentChar"/>
    <w:rsid w:val="005679C2"/>
    <w:pPr>
      <w:spacing w:after="120"/>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5679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8518C"/>
    <w:rPr>
      <w:color w:val="0000FF" w:themeColor="hyperlink"/>
      <w:u w:val="single"/>
    </w:rPr>
  </w:style>
  <w:style w:type="character" w:styleId="FollowedHyperlink">
    <w:name w:val="FollowedHyperlink"/>
    <w:basedOn w:val="DefaultParagraphFont"/>
    <w:uiPriority w:val="99"/>
    <w:semiHidden/>
    <w:unhideWhenUsed/>
    <w:rsid w:val="00B22B1B"/>
    <w:rPr>
      <w:color w:val="800080" w:themeColor="followedHyperlink"/>
      <w:u w:val="single"/>
    </w:rPr>
  </w:style>
  <w:style w:type="character" w:customStyle="1" w:styleId="Heading5Char">
    <w:name w:val="Heading 5 Char"/>
    <w:basedOn w:val="DefaultParagraphFont"/>
    <w:link w:val="Heading5"/>
    <w:uiPriority w:val="9"/>
    <w:rsid w:val="00AB5DEF"/>
    <w:rPr>
      <w:rFonts w:ascii="Times New Roman" w:eastAsia="Times New Roman" w:hAnsi="Times New Roman" w:cs="Times New Roman"/>
      <w:b/>
      <w:bCs/>
      <w:sz w:val="20"/>
      <w:szCs w:val="20"/>
    </w:rPr>
  </w:style>
  <w:style w:type="paragraph" w:styleId="NormalWeb">
    <w:name w:val="Normal (Web)"/>
    <w:basedOn w:val="Normal"/>
    <w:uiPriority w:val="99"/>
    <w:unhideWhenUsed/>
    <w:rsid w:val="00AB5DEF"/>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0235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1258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sb.org/pdf/abs99-19.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logs.smeal.psu.edu/grumpyoldaccountants/archives/24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ogs.smeal.psu.edu/grumpyoldaccountants/archives/191" TargetMode="External"/><Relationship Id="rId11" Type="http://schemas.openxmlformats.org/officeDocument/2006/relationships/hyperlink" Target="http://blog.agrawals.org/2011/08/08/groupons-other-funny-numbers/" TargetMode="External"/><Relationship Id="rId5" Type="http://schemas.openxmlformats.org/officeDocument/2006/relationships/hyperlink" Target="http://www.bloomberg.com/news/2011-07-29/groupon-s-digestive-problems-at-sec-may-delay-ipo-former-official-says.html" TargetMode="External"/><Relationship Id="rId10" Type="http://schemas.openxmlformats.org/officeDocument/2006/relationships/hyperlink" Target="http://www.businessinsider.com/groupons-main-problem-is-that-it-hasnt-yet-discovered-a-viable-business-model-2011-8" TargetMode="External"/><Relationship Id="rId4" Type="http://schemas.openxmlformats.org/officeDocument/2006/relationships/webSettings" Target="webSettings.xml"/><Relationship Id="rId9" Type="http://schemas.openxmlformats.org/officeDocument/2006/relationships/hyperlink" Target="http://www.sec.gov/interps/account/sab10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1844</Words>
  <Characters>10514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12334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Catanach</dc:creator>
  <cp:lastModifiedBy>Ed Ketz</cp:lastModifiedBy>
  <cp:revision>4</cp:revision>
  <dcterms:created xsi:type="dcterms:W3CDTF">2011-08-18T14:10:00Z</dcterms:created>
  <dcterms:modified xsi:type="dcterms:W3CDTF">2011-08-18T14:17:00Z</dcterms:modified>
</cp:coreProperties>
</file>