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CB" w:rsidRDefault="00EF0371">
      <w:pPr>
        <w:rPr>
          <w:rFonts w:ascii="Verdana" w:hAnsi="Verdana" w:cs="Arial"/>
          <w:b/>
          <w:sz w:val="28"/>
          <w:szCs w:val="28"/>
        </w:rPr>
      </w:pPr>
      <w:r w:rsidRPr="00BE09CB">
        <w:rPr>
          <w:rFonts w:ascii="Verdana" w:hAnsi="Verdana" w:cs="Arial"/>
          <w:b/>
          <w:sz w:val="28"/>
          <w:szCs w:val="28"/>
        </w:rPr>
        <w:t>R</w:t>
      </w:r>
      <w:r w:rsidR="005460BA">
        <w:rPr>
          <w:rFonts w:ascii="Verdana" w:hAnsi="Verdana" w:cs="Arial"/>
          <w:b/>
          <w:sz w:val="28"/>
          <w:szCs w:val="28"/>
        </w:rPr>
        <w:t>ITE</w:t>
      </w:r>
      <w:r w:rsidRPr="00BE09CB">
        <w:rPr>
          <w:rFonts w:ascii="Verdana" w:hAnsi="Verdana" w:cs="Arial"/>
          <w:b/>
          <w:sz w:val="28"/>
          <w:szCs w:val="28"/>
        </w:rPr>
        <w:t xml:space="preserve"> A</w:t>
      </w:r>
      <w:r w:rsidR="005460BA">
        <w:rPr>
          <w:rFonts w:ascii="Verdana" w:hAnsi="Verdana" w:cs="Arial"/>
          <w:b/>
          <w:sz w:val="28"/>
          <w:szCs w:val="28"/>
        </w:rPr>
        <w:t>ID</w:t>
      </w:r>
      <w:r w:rsidRPr="00BE09CB">
        <w:rPr>
          <w:rFonts w:ascii="Verdana" w:hAnsi="Verdana" w:cs="Arial"/>
          <w:b/>
          <w:sz w:val="28"/>
          <w:szCs w:val="28"/>
        </w:rPr>
        <w:t xml:space="preserve">: </w:t>
      </w:r>
      <w:r w:rsidR="008D1B9B" w:rsidRPr="00BE09CB">
        <w:rPr>
          <w:rFonts w:ascii="Verdana" w:hAnsi="Verdana" w:cs="Arial"/>
          <w:b/>
          <w:sz w:val="28"/>
          <w:szCs w:val="28"/>
        </w:rPr>
        <w:t>I</w:t>
      </w:r>
      <w:r w:rsidR="005460BA">
        <w:rPr>
          <w:rFonts w:ascii="Verdana" w:hAnsi="Verdana" w:cs="Arial"/>
          <w:b/>
          <w:sz w:val="28"/>
          <w:szCs w:val="28"/>
        </w:rPr>
        <w:t>S</w:t>
      </w:r>
      <w:r w:rsidR="008D1B9B" w:rsidRPr="00BE09CB">
        <w:rPr>
          <w:rFonts w:ascii="Verdana" w:hAnsi="Verdana" w:cs="Arial"/>
          <w:b/>
          <w:sz w:val="28"/>
          <w:szCs w:val="28"/>
        </w:rPr>
        <w:t xml:space="preserve"> M</w:t>
      </w:r>
      <w:r w:rsidR="005460BA">
        <w:rPr>
          <w:rFonts w:ascii="Verdana" w:hAnsi="Verdana" w:cs="Arial"/>
          <w:b/>
          <w:sz w:val="28"/>
          <w:szCs w:val="28"/>
        </w:rPr>
        <w:t>ANAGEMENT</w:t>
      </w:r>
      <w:r w:rsidR="008D1B9B" w:rsidRPr="00BE09CB">
        <w:rPr>
          <w:rFonts w:ascii="Verdana" w:hAnsi="Verdana" w:cs="Arial"/>
          <w:b/>
          <w:sz w:val="28"/>
          <w:szCs w:val="28"/>
        </w:rPr>
        <w:t xml:space="preserve"> </w:t>
      </w:r>
      <w:r w:rsidR="00D56988" w:rsidRPr="00BE09CB">
        <w:rPr>
          <w:rFonts w:ascii="Verdana" w:hAnsi="Verdana" w:cs="Arial"/>
          <w:b/>
          <w:sz w:val="28"/>
          <w:szCs w:val="28"/>
        </w:rPr>
        <w:t>S</w:t>
      </w:r>
      <w:r w:rsidR="005460BA">
        <w:rPr>
          <w:rFonts w:ascii="Verdana" w:hAnsi="Verdana" w:cs="Arial"/>
          <w:b/>
          <w:sz w:val="28"/>
          <w:szCs w:val="28"/>
        </w:rPr>
        <w:t>ELLING</w:t>
      </w:r>
      <w:r w:rsidR="00D56988" w:rsidRPr="00BE09CB">
        <w:rPr>
          <w:rFonts w:ascii="Verdana" w:hAnsi="Verdana" w:cs="Arial"/>
          <w:b/>
          <w:sz w:val="28"/>
          <w:szCs w:val="28"/>
        </w:rPr>
        <w:t xml:space="preserve"> D</w:t>
      </w:r>
      <w:r w:rsidR="005460BA">
        <w:rPr>
          <w:rFonts w:ascii="Verdana" w:hAnsi="Verdana" w:cs="Arial"/>
          <w:b/>
          <w:sz w:val="28"/>
          <w:szCs w:val="28"/>
        </w:rPr>
        <w:t>RUGS</w:t>
      </w:r>
      <w:r w:rsidR="00D56988" w:rsidRPr="00BE09CB">
        <w:rPr>
          <w:rFonts w:ascii="Verdana" w:hAnsi="Verdana" w:cs="Arial"/>
          <w:b/>
          <w:sz w:val="28"/>
          <w:szCs w:val="28"/>
        </w:rPr>
        <w:t xml:space="preserve"> </w:t>
      </w:r>
      <w:r w:rsidR="005460BA">
        <w:rPr>
          <w:rFonts w:ascii="Verdana" w:hAnsi="Verdana" w:cs="Arial"/>
          <w:b/>
          <w:sz w:val="28"/>
          <w:szCs w:val="28"/>
        </w:rPr>
        <w:t>OR</w:t>
      </w:r>
      <w:r w:rsidR="00D56988" w:rsidRPr="00BE09CB">
        <w:rPr>
          <w:rFonts w:ascii="Verdana" w:hAnsi="Verdana" w:cs="Arial"/>
          <w:b/>
          <w:sz w:val="28"/>
          <w:szCs w:val="28"/>
        </w:rPr>
        <w:t xml:space="preserve"> U</w:t>
      </w:r>
      <w:r w:rsidR="005460BA">
        <w:rPr>
          <w:rFonts w:ascii="Verdana" w:hAnsi="Verdana" w:cs="Arial"/>
          <w:b/>
          <w:sz w:val="28"/>
          <w:szCs w:val="28"/>
        </w:rPr>
        <w:t>SING</w:t>
      </w:r>
      <w:r w:rsidR="00D56988" w:rsidRPr="00BE09CB">
        <w:rPr>
          <w:rFonts w:ascii="Verdana" w:hAnsi="Verdana" w:cs="Arial"/>
          <w:b/>
          <w:sz w:val="28"/>
          <w:szCs w:val="28"/>
        </w:rPr>
        <w:t xml:space="preserve"> T</w:t>
      </w:r>
      <w:r w:rsidR="005460BA">
        <w:rPr>
          <w:rFonts w:ascii="Verdana" w:hAnsi="Verdana" w:cs="Arial"/>
          <w:b/>
          <w:sz w:val="28"/>
          <w:szCs w:val="28"/>
        </w:rPr>
        <w:t>HEM</w:t>
      </w:r>
      <w:r w:rsidR="00D56988" w:rsidRPr="00BE09CB">
        <w:rPr>
          <w:rFonts w:ascii="Verdana" w:hAnsi="Verdana" w:cs="Arial"/>
          <w:b/>
          <w:sz w:val="28"/>
          <w:szCs w:val="28"/>
        </w:rPr>
        <w:t>?</w:t>
      </w:r>
    </w:p>
    <w:p w:rsidR="00BE09CB" w:rsidRPr="006F30DE" w:rsidRDefault="00BE09CB" w:rsidP="00BE09CB">
      <w:pPr>
        <w:rPr>
          <w:rFonts w:ascii="Verdana" w:hAnsi="Verdana"/>
          <w:b/>
          <w:i/>
          <w:szCs w:val="24"/>
        </w:rPr>
      </w:pPr>
      <w:r w:rsidRPr="006F30DE">
        <w:rPr>
          <w:rFonts w:ascii="Verdana" w:hAnsi="Verdana"/>
          <w:b/>
          <w:i/>
          <w:szCs w:val="24"/>
        </w:rPr>
        <w:t>Anthony H. Catanach Jr. and J. Edward Ketz</w:t>
      </w:r>
    </w:p>
    <w:p w:rsidR="00BE09CB" w:rsidRPr="006F30DE" w:rsidRDefault="00BE09CB" w:rsidP="00BE09CB">
      <w:pPr>
        <w:rPr>
          <w:rFonts w:ascii="Verdana" w:hAnsi="Verdana"/>
          <w:b/>
          <w:i/>
          <w:szCs w:val="24"/>
        </w:rPr>
      </w:pPr>
      <w:r>
        <w:rPr>
          <w:rFonts w:ascii="Verdana" w:hAnsi="Verdana"/>
          <w:b/>
          <w:i/>
          <w:szCs w:val="24"/>
        </w:rPr>
        <w:t>Grumpy Old Accountants, August</w:t>
      </w:r>
      <w:r w:rsidRPr="006F30DE">
        <w:rPr>
          <w:rFonts w:ascii="Verdana" w:hAnsi="Verdana"/>
          <w:b/>
          <w:i/>
          <w:szCs w:val="24"/>
        </w:rPr>
        <w:t xml:space="preserve"> 2011</w:t>
      </w:r>
    </w:p>
    <w:p w:rsidR="00EF0371" w:rsidRPr="00BE09CB" w:rsidRDefault="00D56988">
      <w:pPr>
        <w:rPr>
          <w:rFonts w:ascii="Verdana" w:hAnsi="Verdana" w:cs="Arial"/>
          <w:sz w:val="24"/>
          <w:szCs w:val="24"/>
        </w:rPr>
      </w:pPr>
      <w:r w:rsidRPr="00BE09CB">
        <w:rPr>
          <w:rFonts w:ascii="Verdana" w:hAnsi="Verdana" w:cs="Arial"/>
          <w:b/>
          <w:sz w:val="28"/>
          <w:szCs w:val="28"/>
        </w:rPr>
        <w:br/>
      </w:r>
    </w:p>
    <w:p w:rsidR="00D071F7" w:rsidRPr="00BE09CB" w:rsidRDefault="000D7812">
      <w:pPr>
        <w:rPr>
          <w:rFonts w:ascii="Verdana" w:hAnsi="Verdana" w:cs="Arial"/>
          <w:sz w:val="24"/>
          <w:szCs w:val="24"/>
        </w:rPr>
      </w:pPr>
      <w:r w:rsidRPr="00BE09CB">
        <w:rPr>
          <w:rFonts w:ascii="Verdana" w:hAnsi="Verdana" w:cs="Arial"/>
          <w:sz w:val="24"/>
          <w:szCs w:val="24"/>
        </w:rPr>
        <w:t>The answer</w:t>
      </w:r>
      <w:r w:rsidR="00CF476D">
        <w:rPr>
          <w:rFonts w:ascii="Verdana" w:hAnsi="Verdana" w:cs="Arial"/>
          <w:sz w:val="24"/>
          <w:szCs w:val="24"/>
        </w:rPr>
        <w:t xml:space="preserve"> appears to be</w:t>
      </w:r>
      <w:r w:rsidRPr="00BE09CB">
        <w:rPr>
          <w:rFonts w:ascii="Verdana" w:hAnsi="Verdana" w:cs="Arial"/>
          <w:sz w:val="24"/>
          <w:szCs w:val="24"/>
        </w:rPr>
        <w:t xml:space="preserve"> BOTH! </w:t>
      </w:r>
      <w:r w:rsidR="00D071F7" w:rsidRPr="00BE09CB">
        <w:rPr>
          <w:rFonts w:ascii="Verdana" w:hAnsi="Verdana" w:cs="Arial"/>
          <w:sz w:val="24"/>
          <w:szCs w:val="24"/>
        </w:rPr>
        <w:t xml:space="preserve">It has been just over a decade since this drug store chain achieved notoriety for the financial reporting shenanigans perpetrated by its senior management.  As you may recall, the Company’s Vice Chairman, CEO, and CFO conducted an </w:t>
      </w:r>
      <w:hyperlink r:id="rId4" w:history="1">
        <w:r w:rsidR="00D071F7" w:rsidRPr="00BE09CB">
          <w:rPr>
            <w:rStyle w:val="Hyperlink"/>
            <w:rFonts w:ascii="Verdana" w:hAnsi="Verdana" w:cs="Arial"/>
            <w:sz w:val="24"/>
            <w:szCs w:val="24"/>
          </w:rPr>
          <w:t>accounting fraud scheme</w:t>
        </w:r>
      </w:hyperlink>
      <w:r w:rsidR="00D071F7" w:rsidRPr="00BE09CB">
        <w:rPr>
          <w:rFonts w:ascii="Verdana" w:hAnsi="Verdana" w:cs="Arial"/>
          <w:sz w:val="24"/>
          <w:szCs w:val="24"/>
        </w:rPr>
        <w:t xml:space="preserve"> which, among other things, significantly overstated the Company’s income in </w:t>
      </w:r>
      <w:r w:rsidR="00BE4B17">
        <w:rPr>
          <w:rFonts w:ascii="Verdana" w:hAnsi="Verdana" w:cs="Arial"/>
          <w:sz w:val="24"/>
          <w:szCs w:val="24"/>
        </w:rPr>
        <w:t>every quarter from May 1997 to M</w:t>
      </w:r>
      <w:r w:rsidR="00D071F7" w:rsidRPr="00BE09CB">
        <w:rPr>
          <w:rFonts w:ascii="Verdana" w:hAnsi="Verdana" w:cs="Arial"/>
          <w:sz w:val="24"/>
          <w:szCs w:val="24"/>
        </w:rPr>
        <w:t>ay 1999.  This fraud resulted in the largest restatement (at that time) of pre-tax income and net income, $2.3 billion and $1.6 billion, respectively.</w:t>
      </w:r>
      <w:r w:rsidR="00D56988" w:rsidRPr="00BE09CB">
        <w:rPr>
          <w:rFonts w:ascii="Verdana" w:hAnsi="Verdana" w:cs="Arial"/>
          <w:sz w:val="24"/>
          <w:szCs w:val="24"/>
        </w:rPr>
        <w:t xml:space="preserve">  We are sorry to report that the “accounting games” continue, presumably with the bless</w:t>
      </w:r>
      <w:r w:rsidR="008D1B9B" w:rsidRPr="00BE09CB">
        <w:rPr>
          <w:rFonts w:ascii="Verdana" w:hAnsi="Verdana" w:cs="Arial"/>
          <w:sz w:val="24"/>
          <w:szCs w:val="24"/>
        </w:rPr>
        <w:t>ing of their ten-</w:t>
      </w:r>
      <w:proofErr w:type="spellStart"/>
      <w:r w:rsidR="008D1B9B" w:rsidRPr="00BE09CB">
        <w:rPr>
          <w:rFonts w:ascii="Verdana" w:hAnsi="Verdana" w:cs="Arial"/>
          <w:sz w:val="24"/>
          <w:szCs w:val="24"/>
        </w:rPr>
        <w:t>yeared</w:t>
      </w:r>
      <w:proofErr w:type="spellEnd"/>
      <w:r w:rsidR="008D1B9B" w:rsidRPr="00BE09CB">
        <w:rPr>
          <w:rFonts w:ascii="Verdana" w:hAnsi="Verdana" w:cs="Arial"/>
          <w:sz w:val="24"/>
          <w:szCs w:val="24"/>
        </w:rPr>
        <w:t xml:space="preserve"> (pun intended) </w:t>
      </w:r>
      <w:r w:rsidRPr="00BE09CB">
        <w:rPr>
          <w:rFonts w:ascii="Verdana" w:hAnsi="Verdana" w:cs="Arial"/>
          <w:sz w:val="24"/>
          <w:szCs w:val="24"/>
        </w:rPr>
        <w:t>auditor, Deloitte</w:t>
      </w:r>
      <w:r w:rsidR="00D56988" w:rsidRPr="00BE09CB">
        <w:rPr>
          <w:rFonts w:ascii="Verdana" w:hAnsi="Verdana" w:cs="Arial"/>
          <w:sz w:val="24"/>
          <w:szCs w:val="24"/>
        </w:rPr>
        <w:t>.</w:t>
      </w:r>
    </w:p>
    <w:p w:rsidR="00D071F7" w:rsidRPr="00BE09CB" w:rsidRDefault="00D071F7">
      <w:pPr>
        <w:rPr>
          <w:rFonts w:ascii="Verdana" w:hAnsi="Verdana" w:cs="Arial"/>
          <w:sz w:val="24"/>
          <w:szCs w:val="24"/>
        </w:rPr>
      </w:pPr>
    </w:p>
    <w:p w:rsidR="00EF0371" w:rsidRPr="00BE09CB" w:rsidRDefault="00EF0371" w:rsidP="00EF0371">
      <w:pPr>
        <w:rPr>
          <w:rFonts w:ascii="Verdana" w:hAnsi="Verdana" w:cs="Arial"/>
          <w:sz w:val="24"/>
          <w:szCs w:val="24"/>
        </w:rPr>
      </w:pPr>
      <w:r w:rsidRPr="00BE09CB">
        <w:rPr>
          <w:rFonts w:ascii="Verdana" w:hAnsi="Verdana" w:cs="Arial"/>
          <w:sz w:val="24"/>
          <w:szCs w:val="24"/>
        </w:rPr>
        <w:t xml:space="preserve">On December 5, 1999, </w:t>
      </w:r>
      <w:r w:rsidR="0011112F" w:rsidRPr="00BE09CB">
        <w:rPr>
          <w:rFonts w:ascii="Verdana" w:hAnsi="Verdana" w:cs="Arial"/>
          <w:sz w:val="24"/>
          <w:szCs w:val="24"/>
        </w:rPr>
        <w:t>Rite Aid</w:t>
      </w:r>
      <w:r w:rsidR="00D071F7" w:rsidRPr="00BE09CB">
        <w:rPr>
          <w:rFonts w:ascii="Verdana" w:hAnsi="Verdana" w:cs="Arial"/>
          <w:sz w:val="24"/>
          <w:szCs w:val="24"/>
        </w:rPr>
        <w:t xml:space="preserve"> </w:t>
      </w:r>
      <w:hyperlink r:id="rId5" w:history="1">
        <w:r w:rsidR="00D071F7" w:rsidRPr="00BE09CB">
          <w:rPr>
            <w:rStyle w:val="Hyperlink"/>
            <w:rFonts w:ascii="Verdana" w:hAnsi="Verdana" w:cs="Arial"/>
            <w:sz w:val="24"/>
            <w:szCs w:val="24"/>
          </w:rPr>
          <w:t xml:space="preserve">installed </w:t>
        </w:r>
        <w:r w:rsidRPr="00BE09CB">
          <w:rPr>
            <w:rStyle w:val="Hyperlink"/>
            <w:rFonts w:ascii="Verdana" w:hAnsi="Verdana" w:cs="Arial"/>
            <w:sz w:val="24"/>
            <w:szCs w:val="24"/>
          </w:rPr>
          <w:t>a new management team</w:t>
        </w:r>
      </w:hyperlink>
      <w:r w:rsidR="0011112F" w:rsidRPr="00BE09CB">
        <w:rPr>
          <w:rFonts w:ascii="Verdana" w:hAnsi="Verdana" w:cs="Arial"/>
          <w:sz w:val="24"/>
          <w:szCs w:val="24"/>
        </w:rPr>
        <w:t xml:space="preserve"> presumably</w:t>
      </w:r>
      <w:r w:rsidRPr="00BE09CB">
        <w:rPr>
          <w:rFonts w:ascii="Verdana" w:hAnsi="Verdana" w:cs="Arial"/>
          <w:sz w:val="24"/>
          <w:szCs w:val="24"/>
        </w:rPr>
        <w:t xml:space="preserve"> </w:t>
      </w:r>
      <w:r w:rsidR="0011112F" w:rsidRPr="00BE09CB">
        <w:rPr>
          <w:rFonts w:ascii="Verdana" w:hAnsi="Verdana" w:cs="Arial"/>
          <w:sz w:val="24"/>
          <w:szCs w:val="24"/>
        </w:rPr>
        <w:t xml:space="preserve">to turn the company around by improving the Company’s balance sheet, operations, and financial performance.  </w:t>
      </w:r>
      <w:r w:rsidR="009A3107" w:rsidRPr="00BE09CB">
        <w:rPr>
          <w:rFonts w:ascii="Verdana" w:hAnsi="Verdana" w:cs="Arial"/>
          <w:sz w:val="24"/>
          <w:szCs w:val="24"/>
        </w:rPr>
        <w:t>Evidently, growth played a role in this “turn around,” especially significantly increasing intangibles which consistently rose from 13.5 percent of assets in 2000 to almost 26 percent in 2007, when management was forced to end its goodwill and intangible asset charades.</w:t>
      </w:r>
      <w:r w:rsidR="008D1B9B" w:rsidRPr="00BE09CB">
        <w:rPr>
          <w:rFonts w:ascii="Verdana" w:hAnsi="Verdana" w:cs="Arial"/>
          <w:sz w:val="24"/>
          <w:szCs w:val="24"/>
        </w:rPr>
        <w:t xml:space="preserve">  </w:t>
      </w:r>
      <w:r w:rsidR="00CF476D">
        <w:rPr>
          <w:rFonts w:ascii="Verdana" w:hAnsi="Verdana" w:cs="Arial"/>
          <w:sz w:val="24"/>
          <w:szCs w:val="24"/>
        </w:rPr>
        <w:t>(</w:t>
      </w:r>
      <w:r w:rsidR="008D1B9B" w:rsidRPr="00BE09CB">
        <w:rPr>
          <w:rFonts w:ascii="Verdana" w:hAnsi="Verdana" w:cs="Arial"/>
          <w:sz w:val="24"/>
          <w:szCs w:val="24"/>
        </w:rPr>
        <w:t xml:space="preserve">See </w:t>
      </w:r>
      <w:r w:rsidR="00041BAF" w:rsidRPr="00BE09CB">
        <w:rPr>
          <w:rFonts w:ascii="Verdana" w:hAnsi="Verdana" w:cs="Arial"/>
          <w:sz w:val="24"/>
          <w:szCs w:val="24"/>
        </w:rPr>
        <w:t xml:space="preserve">our May 16, 2011 post on </w:t>
      </w:r>
      <w:hyperlink r:id="rId6" w:history="1">
        <w:r w:rsidR="00041BAF" w:rsidRPr="00BE09CB">
          <w:rPr>
            <w:rStyle w:val="Hyperlink"/>
            <w:rFonts w:ascii="Verdana" w:hAnsi="Verdana" w:cs="Arial"/>
            <w:sz w:val="24"/>
            <w:szCs w:val="24"/>
          </w:rPr>
          <w:t>“Goodwill Games</w:t>
        </w:r>
        <w:r w:rsidR="00733B7A" w:rsidRPr="00BE09CB">
          <w:rPr>
            <w:rStyle w:val="Hyperlink"/>
            <w:rFonts w:ascii="Verdana" w:hAnsi="Verdana" w:cs="Arial"/>
            <w:sz w:val="24"/>
            <w:szCs w:val="24"/>
          </w:rPr>
          <w:t>.</w:t>
        </w:r>
        <w:r w:rsidR="00041BAF" w:rsidRPr="00BE09CB">
          <w:rPr>
            <w:rStyle w:val="Hyperlink"/>
            <w:rFonts w:ascii="Verdana" w:hAnsi="Verdana" w:cs="Arial"/>
            <w:sz w:val="24"/>
            <w:szCs w:val="24"/>
          </w:rPr>
          <w:t>”</w:t>
        </w:r>
      </w:hyperlink>
      <w:r w:rsidR="00CF476D">
        <w:t>)</w:t>
      </w:r>
      <w:r w:rsidR="00733B7A" w:rsidRPr="00BE09CB">
        <w:rPr>
          <w:rFonts w:ascii="Verdana" w:hAnsi="Verdana" w:cs="Arial"/>
          <w:sz w:val="24"/>
          <w:szCs w:val="24"/>
        </w:rPr>
        <w:t xml:space="preserve"> </w:t>
      </w:r>
    </w:p>
    <w:p w:rsidR="009A3107" w:rsidRPr="00BE09CB" w:rsidRDefault="009A3107" w:rsidP="00EF0371">
      <w:pPr>
        <w:rPr>
          <w:rFonts w:ascii="Verdana" w:hAnsi="Verdana" w:cs="Arial"/>
          <w:sz w:val="24"/>
          <w:szCs w:val="24"/>
        </w:rPr>
      </w:pPr>
    </w:p>
    <w:p w:rsidR="009A3107" w:rsidRPr="00BE09CB" w:rsidRDefault="009A3107" w:rsidP="00EF0371">
      <w:pPr>
        <w:rPr>
          <w:rFonts w:ascii="Verdana" w:hAnsi="Verdana" w:cs="Arial"/>
          <w:sz w:val="24"/>
          <w:szCs w:val="24"/>
        </w:rPr>
      </w:pPr>
      <w:r w:rsidRPr="00BE09CB">
        <w:rPr>
          <w:rFonts w:ascii="Verdana" w:hAnsi="Verdana" w:cs="Arial"/>
          <w:sz w:val="24"/>
          <w:szCs w:val="24"/>
        </w:rPr>
        <w:t xml:space="preserve">A simple </w:t>
      </w:r>
      <w:hyperlink r:id="rId7" w:anchor="axzz1UiyQQ9wK" w:history="1">
        <w:r w:rsidRPr="00BE09CB">
          <w:rPr>
            <w:rStyle w:val="Hyperlink"/>
            <w:rFonts w:ascii="Verdana" w:hAnsi="Verdana" w:cs="Arial"/>
            <w:sz w:val="24"/>
            <w:szCs w:val="24"/>
          </w:rPr>
          <w:t>Altman Z-score</w:t>
        </w:r>
      </w:hyperlink>
      <w:r w:rsidRPr="00BE09CB">
        <w:rPr>
          <w:rFonts w:ascii="Verdana" w:hAnsi="Verdana" w:cs="Arial"/>
          <w:sz w:val="24"/>
          <w:szCs w:val="24"/>
        </w:rPr>
        <w:t xml:space="preserve"> analysis confirms the Company’s historically weak financial condition</w:t>
      </w:r>
      <w:r w:rsidR="008D1B9B" w:rsidRPr="00BE09CB">
        <w:rPr>
          <w:rFonts w:ascii="Verdana" w:hAnsi="Verdana" w:cs="Arial"/>
          <w:sz w:val="24"/>
          <w:szCs w:val="24"/>
        </w:rPr>
        <w:t xml:space="preserve"> and incentive for financial gamesmanship</w:t>
      </w:r>
      <w:r w:rsidR="00D56988" w:rsidRPr="00BE09CB">
        <w:rPr>
          <w:rFonts w:ascii="Verdana" w:hAnsi="Verdana" w:cs="Arial"/>
          <w:sz w:val="24"/>
          <w:szCs w:val="24"/>
        </w:rPr>
        <w:t xml:space="preserve">.  </w:t>
      </w:r>
      <w:r w:rsidRPr="00BE09CB">
        <w:rPr>
          <w:rFonts w:ascii="Verdana" w:hAnsi="Verdana" w:cs="Arial"/>
          <w:sz w:val="24"/>
          <w:szCs w:val="24"/>
        </w:rPr>
        <w:t xml:space="preserve"> </w:t>
      </w:r>
      <w:r w:rsidR="00D56988" w:rsidRPr="00BE09CB">
        <w:rPr>
          <w:rFonts w:ascii="Verdana" w:hAnsi="Verdana" w:cs="Arial"/>
          <w:sz w:val="24"/>
          <w:szCs w:val="24"/>
        </w:rPr>
        <w:t xml:space="preserve">For the past decade, Rite Aid’s Z-score averaged 2.19, however the Company earned </w:t>
      </w:r>
      <w:r w:rsidRPr="00BE09CB">
        <w:rPr>
          <w:rFonts w:ascii="Verdana" w:hAnsi="Verdana" w:cs="Arial"/>
          <w:sz w:val="24"/>
          <w:szCs w:val="24"/>
        </w:rPr>
        <w:t>scores</w:t>
      </w:r>
      <w:r w:rsidR="00D56988" w:rsidRPr="00BE09CB">
        <w:rPr>
          <w:rFonts w:ascii="Verdana" w:hAnsi="Verdana" w:cs="Arial"/>
          <w:sz w:val="24"/>
          <w:szCs w:val="24"/>
        </w:rPr>
        <w:t xml:space="preserve"> </w:t>
      </w:r>
      <w:r w:rsidR="008D1B9B" w:rsidRPr="00BE09CB">
        <w:rPr>
          <w:rFonts w:ascii="Verdana" w:hAnsi="Verdana" w:cs="Arial"/>
          <w:sz w:val="24"/>
          <w:szCs w:val="24"/>
        </w:rPr>
        <w:t xml:space="preserve">of </w:t>
      </w:r>
      <w:r w:rsidRPr="00BE09CB">
        <w:rPr>
          <w:rFonts w:ascii="Verdana" w:hAnsi="Verdana" w:cs="Arial"/>
          <w:sz w:val="24"/>
          <w:szCs w:val="24"/>
        </w:rPr>
        <w:t>less than two</w:t>
      </w:r>
      <w:r w:rsidR="00D56988" w:rsidRPr="00BE09CB">
        <w:rPr>
          <w:rFonts w:ascii="Verdana" w:hAnsi="Verdana" w:cs="Arial"/>
          <w:sz w:val="24"/>
          <w:szCs w:val="24"/>
        </w:rPr>
        <w:t>,</w:t>
      </w:r>
      <w:r w:rsidRPr="00BE09CB">
        <w:rPr>
          <w:rFonts w:ascii="Verdana" w:hAnsi="Verdana" w:cs="Arial"/>
          <w:sz w:val="24"/>
          <w:szCs w:val="24"/>
        </w:rPr>
        <w:t xml:space="preserve"> in three of the past </w:t>
      </w:r>
      <w:r w:rsidR="00D56988" w:rsidRPr="00BE09CB">
        <w:rPr>
          <w:rFonts w:ascii="Verdana" w:hAnsi="Verdana" w:cs="Arial"/>
          <w:sz w:val="24"/>
          <w:szCs w:val="24"/>
        </w:rPr>
        <w:t>11 years, and the remaining eight years showed scores no higher than 2.7 in any one year.  And the Z-score picture is even bleaker if one capitalizes all of the Company’s operating lease commitments and ends the “off-balance sheet financing” scam.  This adds almost another $7 billion of assets and debt to th</w:t>
      </w:r>
      <w:r w:rsidR="008D1B9B" w:rsidRPr="00BE09CB">
        <w:rPr>
          <w:rFonts w:ascii="Verdana" w:hAnsi="Verdana" w:cs="Arial"/>
          <w:sz w:val="24"/>
          <w:szCs w:val="24"/>
        </w:rPr>
        <w:t xml:space="preserve">e balance sheet, and drives </w:t>
      </w:r>
      <w:r w:rsidR="00D56988" w:rsidRPr="00BE09CB">
        <w:rPr>
          <w:rFonts w:ascii="Verdana" w:hAnsi="Verdana" w:cs="Arial"/>
          <w:sz w:val="24"/>
          <w:szCs w:val="24"/>
        </w:rPr>
        <w:t>Rite Aid’s Z-score down to 1.21 for a bankruptcy probability of 11 percent.</w:t>
      </w:r>
      <w:r w:rsidR="00041BAF" w:rsidRPr="00BE09CB">
        <w:rPr>
          <w:rFonts w:ascii="Verdana" w:hAnsi="Verdana" w:cs="Arial"/>
          <w:sz w:val="24"/>
          <w:szCs w:val="24"/>
        </w:rPr>
        <w:t xml:space="preserve">  It’s no wonder that the Company, has made Jason </w:t>
      </w:r>
      <w:proofErr w:type="spellStart"/>
      <w:r w:rsidR="00041BAF" w:rsidRPr="00BE09CB">
        <w:rPr>
          <w:rFonts w:ascii="Verdana" w:hAnsi="Verdana" w:cs="Arial"/>
          <w:sz w:val="24"/>
          <w:szCs w:val="24"/>
        </w:rPr>
        <w:t>Notte’s</w:t>
      </w:r>
      <w:proofErr w:type="spellEnd"/>
      <w:r w:rsidR="00041BAF" w:rsidRPr="00BE09CB">
        <w:rPr>
          <w:rFonts w:ascii="Verdana" w:hAnsi="Verdana" w:cs="Arial"/>
          <w:sz w:val="24"/>
          <w:szCs w:val="24"/>
        </w:rPr>
        <w:t xml:space="preserve"> list of </w:t>
      </w:r>
      <w:hyperlink r:id="rId8" w:history="1">
        <w:r w:rsidR="00041BAF" w:rsidRPr="00BE09CB">
          <w:rPr>
            <w:rStyle w:val="Hyperlink"/>
            <w:rFonts w:ascii="Verdana" w:hAnsi="Verdana" w:cs="Arial"/>
            <w:sz w:val="24"/>
            <w:szCs w:val="24"/>
          </w:rPr>
          <w:t>10 companies that could go bankrupt</w:t>
        </w:r>
      </w:hyperlink>
      <w:r w:rsidR="00041BAF" w:rsidRPr="00BE09CB">
        <w:rPr>
          <w:rFonts w:ascii="Verdana" w:hAnsi="Verdana" w:cs="Arial"/>
          <w:sz w:val="24"/>
          <w:szCs w:val="24"/>
        </w:rPr>
        <w:t>.</w:t>
      </w:r>
    </w:p>
    <w:p w:rsidR="0011112F" w:rsidRPr="00BE09CB" w:rsidRDefault="0011112F" w:rsidP="00EF0371">
      <w:pPr>
        <w:rPr>
          <w:rFonts w:ascii="Verdana" w:hAnsi="Verdana" w:cs="Arial"/>
          <w:sz w:val="24"/>
          <w:szCs w:val="24"/>
        </w:rPr>
      </w:pPr>
    </w:p>
    <w:p w:rsidR="00733B7A" w:rsidRPr="00BE09CB" w:rsidRDefault="008D1B9B" w:rsidP="00EF0371">
      <w:pPr>
        <w:rPr>
          <w:rFonts w:ascii="Verdana" w:hAnsi="Verdana" w:cs="Arial"/>
          <w:sz w:val="24"/>
          <w:szCs w:val="24"/>
        </w:rPr>
      </w:pPr>
      <w:r w:rsidRPr="00BE09CB">
        <w:rPr>
          <w:rFonts w:ascii="Verdana" w:hAnsi="Verdana" w:cs="Arial"/>
          <w:sz w:val="24"/>
          <w:szCs w:val="24"/>
        </w:rPr>
        <w:t>So what kinds of games are being played</w:t>
      </w:r>
      <w:r w:rsidR="00733B7A" w:rsidRPr="00BE09CB">
        <w:rPr>
          <w:rFonts w:ascii="Verdana" w:hAnsi="Verdana" w:cs="Arial"/>
          <w:sz w:val="24"/>
          <w:szCs w:val="24"/>
        </w:rPr>
        <w:t>?  Well, do you</w:t>
      </w:r>
      <w:r w:rsidR="00F165A1" w:rsidRPr="00BE09CB">
        <w:rPr>
          <w:rFonts w:ascii="Verdana" w:hAnsi="Verdana" w:cs="Arial"/>
          <w:sz w:val="24"/>
          <w:szCs w:val="24"/>
        </w:rPr>
        <w:t xml:space="preserve"> wonder why Rite Aid adopts a non-standard income statement format that omits gross profit?  Yes, you guessed it…the gross margin numbers are not pretty</w:t>
      </w:r>
      <w:r w:rsidR="00CF476D">
        <w:rPr>
          <w:rFonts w:ascii="Verdana" w:hAnsi="Verdana" w:cs="Arial"/>
          <w:sz w:val="24"/>
          <w:szCs w:val="24"/>
        </w:rPr>
        <w:t>.  Gross margin is 29.23% and has been slowly declining to 28.55% in 2010.</w:t>
      </w:r>
    </w:p>
    <w:p w:rsidR="00F165A1" w:rsidRPr="00BE09CB" w:rsidRDefault="00F165A1" w:rsidP="00EF0371">
      <w:pPr>
        <w:rPr>
          <w:rFonts w:ascii="Verdana" w:hAnsi="Verdana" w:cs="Arial"/>
          <w:sz w:val="24"/>
          <w:szCs w:val="24"/>
        </w:rPr>
      </w:pPr>
    </w:p>
    <w:p w:rsidR="00777605" w:rsidRPr="00BE09CB" w:rsidRDefault="00F165A1" w:rsidP="00F165A1">
      <w:pPr>
        <w:rPr>
          <w:rFonts w:ascii="Verdana" w:hAnsi="Verdana" w:cs="Arial"/>
          <w:sz w:val="24"/>
          <w:szCs w:val="24"/>
        </w:rPr>
      </w:pPr>
      <w:r w:rsidRPr="00BE09CB">
        <w:rPr>
          <w:rFonts w:ascii="Verdana" w:hAnsi="Verdana" w:cs="Arial"/>
          <w:sz w:val="24"/>
          <w:szCs w:val="24"/>
        </w:rPr>
        <w:lastRenderedPageBreak/>
        <w:t>And the margins are declining even with pseudo gross profit contributions from LIFO layer liquidations during the last three years.  Surely management didn’t tr</w:t>
      </w:r>
      <w:r w:rsidR="008D1B9B" w:rsidRPr="00BE09CB">
        <w:rPr>
          <w:rFonts w:ascii="Verdana" w:hAnsi="Verdana" w:cs="Arial"/>
          <w:sz w:val="24"/>
          <w:szCs w:val="24"/>
        </w:rPr>
        <w:t>igger these intentionally?  W</w:t>
      </w:r>
      <w:r w:rsidRPr="00BE09CB">
        <w:rPr>
          <w:rFonts w:ascii="Verdana" w:hAnsi="Verdana" w:cs="Arial"/>
          <w:sz w:val="24"/>
          <w:szCs w:val="24"/>
        </w:rPr>
        <w:t xml:space="preserve">hat if we told you that the </w:t>
      </w:r>
      <w:hyperlink r:id="rId9" w:anchor="axzz1UiyQQ9wK" w:history="1">
        <w:proofErr w:type="spellStart"/>
        <w:r w:rsidRPr="00BE09CB">
          <w:rPr>
            <w:rStyle w:val="Hyperlink"/>
            <w:rFonts w:ascii="Verdana" w:hAnsi="Verdana" w:cs="Arial"/>
            <w:sz w:val="24"/>
            <w:szCs w:val="24"/>
          </w:rPr>
          <w:t>Bene</w:t>
        </w:r>
        <w:r w:rsidR="00BE09CB" w:rsidRPr="00BE09CB">
          <w:rPr>
            <w:rStyle w:val="Hyperlink"/>
            <w:rFonts w:ascii="Verdana" w:hAnsi="Verdana" w:cs="Arial"/>
            <w:sz w:val="24"/>
            <w:szCs w:val="24"/>
          </w:rPr>
          <w:t>i</w:t>
        </w:r>
        <w:r w:rsidRPr="00BE09CB">
          <w:rPr>
            <w:rStyle w:val="Hyperlink"/>
            <w:rFonts w:ascii="Verdana" w:hAnsi="Verdana" w:cs="Arial"/>
            <w:sz w:val="24"/>
            <w:szCs w:val="24"/>
          </w:rPr>
          <w:t>sh</w:t>
        </w:r>
        <w:proofErr w:type="spellEnd"/>
        <w:r w:rsidRPr="00BE09CB">
          <w:rPr>
            <w:rStyle w:val="Hyperlink"/>
            <w:rFonts w:ascii="Verdana" w:hAnsi="Verdana" w:cs="Arial"/>
            <w:sz w:val="24"/>
            <w:szCs w:val="24"/>
          </w:rPr>
          <w:t xml:space="preserve"> Earnings Manipulation</w:t>
        </w:r>
      </w:hyperlink>
      <w:r w:rsidRPr="00BE09CB">
        <w:rPr>
          <w:rFonts w:ascii="Verdana" w:hAnsi="Verdana" w:cs="Arial"/>
          <w:sz w:val="24"/>
          <w:szCs w:val="24"/>
        </w:rPr>
        <w:t xml:space="preserve"> model shows signs of earnings manipulation in every year since 2000, with the highest manipulation probability for FYE 28 February 2010.</w:t>
      </w:r>
      <w:r w:rsidR="00355B4C" w:rsidRPr="00BE09CB">
        <w:rPr>
          <w:rFonts w:ascii="Verdana" w:hAnsi="Verdana" w:cs="Arial"/>
          <w:sz w:val="24"/>
          <w:szCs w:val="24"/>
        </w:rPr>
        <w:t xml:space="preserve">  </w:t>
      </w:r>
    </w:p>
    <w:p w:rsidR="00777605" w:rsidRPr="00BE09CB" w:rsidRDefault="00777605" w:rsidP="00F165A1">
      <w:pPr>
        <w:rPr>
          <w:rFonts w:ascii="Verdana" w:hAnsi="Verdana" w:cs="Arial"/>
          <w:sz w:val="24"/>
          <w:szCs w:val="24"/>
        </w:rPr>
      </w:pPr>
    </w:p>
    <w:p w:rsidR="00F165A1" w:rsidRPr="00BE09CB" w:rsidRDefault="00355B4C" w:rsidP="00F165A1">
      <w:pPr>
        <w:rPr>
          <w:rFonts w:ascii="Verdana" w:hAnsi="Verdana" w:cs="Arial"/>
          <w:i/>
          <w:sz w:val="24"/>
          <w:szCs w:val="24"/>
        </w:rPr>
      </w:pPr>
      <w:r w:rsidRPr="00BE09CB">
        <w:rPr>
          <w:rFonts w:ascii="Verdana" w:hAnsi="Verdana" w:cs="Arial"/>
          <w:sz w:val="24"/>
          <w:szCs w:val="24"/>
        </w:rPr>
        <w:t xml:space="preserve">Or maybe the uncoupling of operating cash flows and </w:t>
      </w:r>
      <w:r w:rsidR="00777605" w:rsidRPr="00BE09CB">
        <w:rPr>
          <w:rFonts w:ascii="Verdana" w:hAnsi="Verdana" w:cs="Arial"/>
          <w:sz w:val="24"/>
          <w:szCs w:val="24"/>
        </w:rPr>
        <w:t xml:space="preserve">operating earnings between 2001 and 2008 gets your attention.  Between 2001 and 2005, the Company’s Excess Cash Margin metric reveals a </w:t>
      </w:r>
      <w:r w:rsidR="00057355" w:rsidRPr="00BE09CB">
        <w:rPr>
          <w:rFonts w:ascii="Verdana" w:hAnsi="Verdana" w:cs="Arial"/>
          <w:sz w:val="24"/>
          <w:szCs w:val="24"/>
        </w:rPr>
        <w:t xml:space="preserve">significant </w:t>
      </w:r>
      <w:r w:rsidR="00777605" w:rsidRPr="00BE09CB">
        <w:rPr>
          <w:rFonts w:ascii="Verdana" w:hAnsi="Verdana" w:cs="Arial"/>
          <w:sz w:val="24"/>
          <w:szCs w:val="24"/>
        </w:rPr>
        <w:t xml:space="preserve">growth in earnings that outpaces increases in operating cash flow (OCF).  Then, in 2006 the trend dramatically reverses with OCF growth outpacing operating earnings primarily on the strength of receivable securitization, as well as receivable and inventory liquidations in 2008.  </w:t>
      </w:r>
      <w:r w:rsidR="00057355" w:rsidRPr="00BE09CB">
        <w:rPr>
          <w:rFonts w:ascii="Verdana" w:hAnsi="Verdana" w:cs="Arial"/>
          <w:sz w:val="24"/>
          <w:szCs w:val="24"/>
        </w:rPr>
        <w:t xml:space="preserve">Why did this occur?  Only one explanation makes sense to us: </w:t>
      </w:r>
      <w:r w:rsidR="00057355" w:rsidRPr="00BE09CB">
        <w:rPr>
          <w:rFonts w:ascii="Verdana" w:hAnsi="Verdana" w:cs="Arial"/>
          <w:i/>
          <w:sz w:val="24"/>
          <w:szCs w:val="24"/>
        </w:rPr>
        <w:t>overly aggressive revenue recognition after the management change followed by forced asset liquidations as the Company’s true prospects showed themselves.</w:t>
      </w:r>
    </w:p>
    <w:p w:rsidR="00777605" w:rsidRPr="00BE09CB" w:rsidRDefault="00777605" w:rsidP="00F165A1">
      <w:pPr>
        <w:rPr>
          <w:rFonts w:ascii="Verdana" w:hAnsi="Verdana" w:cs="Arial"/>
          <w:sz w:val="24"/>
          <w:szCs w:val="24"/>
        </w:rPr>
      </w:pPr>
    </w:p>
    <w:p w:rsidR="00777605" w:rsidRPr="00BE09CB" w:rsidRDefault="00A43DAF" w:rsidP="00F165A1">
      <w:pPr>
        <w:rPr>
          <w:rFonts w:ascii="Verdana" w:hAnsi="Verdana" w:cs="Arial"/>
          <w:sz w:val="24"/>
          <w:szCs w:val="24"/>
        </w:rPr>
      </w:pPr>
      <w:r w:rsidRPr="00BE09CB">
        <w:rPr>
          <w:rFonts w:ascii="Verdana" w:hAnsi="Verdana" w:cs="Arial"/>
          <w:sz w:val="24"/>
          <w:szCs w:val="24"/>
        </w:rPr>
        <w:t xml:space="preserve">Still not convinced there is an “earnings quality” problem?  </w:t>
      </w:r>
      <w:r w:rsidR="006B668F" w:rsidRPr="00BE09CB">
        <w:rPr>
          <w:rFonts w:ascii="Verdana" w:hAnsi="Verdana" w:cs="Arial"/>
          <w:sz w:val="24"/>
          <w:szCs w:val="24"/>
        </w:rPr>
        <w:t>Check out what drives net income between 2003 and 2006.</w:t>
      </w:r>
      <w:r w:rsidR="009264F3" w:rsidRPr="00BE09CB">
        <w:rPr>
          <w:rFonts w:ascii="Verdana" w:hAnsi="Verdana" w:cs="Arial"/>
          <w:sz w:val="24"/>
          <w:szCs w:val="24"/>
        </w:rPr>
        <w:t xml:space="preserve">  Apparently, the Company’s growth strategy failed, so it had</w:t>
      </w:r>
      <w:r w:rsidR="008D1B9B" w:rsidRPr="00BE09CB">
        <w:rPr>
          <w:rFonts w:ascii="Verdana" w:hAnsi="Verdana" w:cs="Arial"/>
          <w:sz w:val="24"/>
          <w:szCs w:val="24"/>
        </w:rPr>
        <w:t xml:space="preserve"> to turn to “creative tax accounting” </w:t>
      </w:r>
      <w:r w:rsidR="009264F3" w:rsidRPr="00BE09CB">
        <w:rPr>
          <w:rFonts w:ascii="Verdana" w:hAnsi="Verdana" w:cs="Arial"/>
          <w:sz w:val="24"/>
          <w:szCs w:val="24"/>
        </w:rPr>
        <w:t>to meet promised expectations.  During this time period, Rite Aid’s bottom line was driven by income tax benefits related to the reversal of its deferred tax asset valuation allowance.</w:t>
      </w:r>
      <w:r w:rsidR="0005599F" w:rsidRPr="00BE09CB">
        <w:rPr>
          <w:rFonts w:ascii="Verdana" w:hAnsi="Verdana" w:cs="Arial"/>
          <w:sz w:val="24"/>
          <w:szCs w:val="24"/>
        </w:rPr>
        <w:t xml:space="preserve">  Interestingly enough, management did this immediately after the Enron and WorldCom debacles, and right after Sarbanes Oxley was enacted.  The pressure for a bottom line must really have been intense.</w:t>
      </w:r>
    </w:p>
    <w:p w:rsidR="00E2480D" w:rsidRDefault="00E2480D" w:rsidP="00F165A1">
      <w:pPr>
        <w:rPr>
          <w:rFonts w:ascii="Verdana" w:hAnsi="Verdana" w:cs="Arial"/>
          <w:sz w:val="24"/>
          <w:szCs w:val="24"/>
        </w:rPr>
      </w:pPr>
    </w:p>
    <w:p w:rsidR="00916856" w:rsidRDefault="00916856" w:rsidP="00F165A1">
      <w:pPr>
        <w:rPr>
          <w:rFonts w:ascii="Verdana" w:hAnsi="Verdana"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440"/>
        <w:gridCol w:w="1530"/>
        <w:gridCol w:w="1530"/>
        <w:gridCol w:w="1368"/>
      </w:tblGrid>
      <w:tr w:rsidR="00E2480D" w:rsidTr="00916856">
        <w:tc>
          <w:tcPr>
            <w:tcW w:w="3708" w:type="dxa"/>
          </w:tcPr>
          <w:p w:rsidR="00E2480D" w:rsidRDefault="000D1B33" w:rsidP="00F165A1">
            <w:pPr>
              <w:rPr>
                <w:rFonts w:ascii="Verdana" w:hAnsi="Verdana" w:cs="Arial"/>
                <w:sz w:val="24"/>
                <w:szCs w:val="24"/>
              </w:rPr>
            </w:pPr>
            <w:r>
              <w:rPr>
                <w:rFonts w:ascii="Verdana" w:hAnsi="Verdana" w:cs="Arial"/>
                <w:sz w:val="24"/>
                <w:szCs w:val="24"/>
              </w:rPr>
              <w:t>Year ended</w:t>
            </w:r>
            <w:r w:rsidR="000E3959">
              <w:rPr>
                <w:rFonts w:ascii="Verdana" w:hAnsi="Verdana" w:cs="Arial"/>
                <w:sz w:val="24"/>
                <w:szCs w:val="24"/>
              </w:rPr>
              <w:t xml:space="preserve"> (dollars in millions)</w:t>
            </w:r>
          </w:p>
        </w:tc>
        <w:tc>
          <w:tcPr>
            <w:tcW w:w="1440" w:type="dxa"/>
          </w:tcPr>
          <w:p w:rsidR="00E2480D" w:rsidRPr="00082541" w:rsidRDefault="004C0850" w:rsidP="00AF3482">
            <w:pPr>
              <w:rPr>
                <w:rFonts w:ascii="Courier New" w:hAnsi="Courier New" w:cs="Courier New"/>
                <w:b/>
                <w:sz w:val="20"/>
                <w:szCs w:val="20"/>
                <w:u w:val="single"/>
              </w:rPr>
            </w:pPr>
            <w:r>
              <w:rPr>
                <w:rFonts w:ascii="Courier New" w:hAnsi="Courier New" w:cs="Courier New"/>
                <w:b/>
                <w:sz w:val="20"/>
                <w:szCs w:val="20"/>
                <w:u w:val="single"/>
              </w:rPr>
              <w:t>3-4-</w:t>
            </w:r>
            <w:r w:rsidR="00E2480D" w:rsidRPr="00082541">
              <w:rPr>
                <w:rFonts w:ascii="Courier New" w:hAnsi="Courier New" w:cs="Courier New"/>
                <w:b/>
                <w:sz w:val="20"/>
                <w:szCs w:val="20"/>
                <w:u w:val="single"/>
              </w:rPr>
              <w:t>200</w:t>
            </w:r>
            <w:r w:rsidR="000D1B33">
              <w:rPr>
                <w:rFonts w:ascii="Courier New" w:hAnsi="Courier New" w:cs="Courier New"/>
                <w:b/>
                <w:sz w:val="20"/>
                <w:szCs w:val="20"/>
                <w:u w:val="single"/>
              </w:rPr>
              <w:t>4</w:t>
            </w:r>
          </w:p>
        </w:tc>
        <w:tc>
          <w:tcPr>
            <w:tcW w:w="1530" w:type="dxa"/>
          </w:tcPr>
          <w:p w:rsidR="00E2480D" w:rsidRPr="00082541" w:rsidRDefault="000D1B33" w:rsidP="00AF3482">
            <w:pPr>
              <w:rPr>
                <w:rFonts w:ascii="Courier New" w:hAnsi="Courier New" w:cs="Courier New"/>
                <w:b/>
                <w:sz w:val="20"/>
                <w:szCs w:val="20"/>
                <w:u w:val="single"/>
              </w:rPr>
            </w:pPr>
            <w:r>
              <w:rPr>
                <w:rFonts w:ascii="Courier New" w:hAnsi="Courier New" w:cs="Courier New"/>
                <w:b/>
                <w:sz w:val="20"/>
                <w:szCs w:val="20"/>
                <w:u w:val="single"/>
              </w:rPr>
              <w:t>2</w:t>
            </w:r>
            <w:r w:rsidR="004C0850">
              <w:rPr>
                <w:rFonts w:ascii="Courier New" w:hAnsi="Courier New" w:cs="Courier New"/>
                <w:b/>
                <w:sz w:val="20"/>
                <w:szCs w:val="20"/>
                <w:u w:val="single"/>
              </w:rPr>
              <w:t>-2</w:t>
            </w:r>
            <w:r>
              <w:rPr>
                <w:rFonts w:ascii="Courier New" w:hAnsi="Courier New" w:cs="Courier New"/>
                <w:b/>
                <w:sz w:val="20"/>
                <w:szCs w:val="20"/>
                <w:u w:val="single"/>
              </w:rPr>
              <w:t>6</w:t>
            </w:r>
            <w:r w:rsidR="004C0850">
              <w:rPr>
                <w:rFonts w:ascii="Courier New" w:hAnsi="Courier New" w:cs="Courier New"/>
                <w:b/>
                <w:sz w:val="20"/>
                <w:szCs w:val="20"/>
                <w:u w:val="single"/>
              </w:rPr>
              <w:t>-</w:t>
            </w:r>
            <w:r w:rsidR="00E2480D" w:rsidRPr="00082541">
              <w:rPr>
                <w:rFonts w:ascii="Courier New" w:hAnsi="Courier New" w:cs="Courier New"/>
                <w:b/>
                <w:sz w:val="20"/>
                <w:szCs w:val="20"/>
                <w:u w:val="single"/>
              </w:rPr>
              <w:t>200</w:t>
            </w:r>
            <w:r>
              <w:rPr>
                <w:rFonts w:ascii="Courier New" w:hAnsi="Courier New" w:cs="Courier New"/>
                <w:b/>
                <w:sz w:val="20"/>
                <w:szCs w:val="20"/>
                <w:u w:val="single"/>
              </w:rPr>
              <w:t>5</w:t>
            </w:r>
          </w:p>
        </w:tc>
        <w:tc>
          <w:tcPr>
            <w:tcW w:w="1530" w:type="dxa"/>
          </w:tcPr>
          <w:p w:rsidR="00E2480D" w:rsidRPr="00082541" w:rsidRDefault="004C0850" w:rsidP="00AF3482">
            <w:pPr>
              <w:rPr>
                <w:rFonts w:ascii="Courier New" w:hAnsi="Courier New" w:cs="Courier New"/>
                <w:b/>
                <w:sz w:val="20"/>
                <w:szCs w:val="20"/>
                <w:u w:val="single"/>
              </w:rPr>
            </w:pPr>
            <w:r>
              <w:rPr>
                <w:rFonts w:ascii="Courier New" w:hAnsi="Courier New" w:cs="Courier New"/>
                <w:b/>
                <w:sz w:val="20"/>
                <w:szCs w:val="20"/>
                <w:u w:val="single"/>
              </w:rPr>
              <w:t>3-4-</w:t>
            </w:r>
            <w:r w:rsidR="00E2480D" w:rsidRPr="00082541">
              <w:rPr>
                <w:rFonts w:ascii="Courier New" w:hAnsi="Courier New" w:cs="Courier New"/>
                <w:b/>
                <w:sz w:val="20"/>
                <w:szCs w:val="20"/>
                <w:u w:val="single"/>
              </w:rPr>
              <w:t>200</w:t>
            </w:r>
            <w:r w:rsidR="000D1B33">
              <w:rPr>
                <w:rFonts w:ascii="Courier New" w:hAnsi="Courier New" w:cs="Courier New"/>
                <w:b/>
                <w:sz w:val="20"/>
                <w:szCs w:val="20"/>
                <w:u w:val="single"/>
              </w:rPr>
              <w:t>6</w:t>
            </w:r>
          </w:p>
        </w:tc>
        <w:tc>
          <w:tcPr>
            <w:tcW w:w="1368" w:type="dxa"/>
          </w:tcPr>
          <w:p w:rsidR="00E2480D" w:rsidRPr="00082541" w:rsidRDefault="000D1B33" w:rsidP="00AF3482">
            <w:pPr>
              <w:rPr>
                <w:rFonts w:ascii="Courier New" w:hAnsi="Courier New" w:cs="Courier New"/>
                <w:b/>
                <w:sz w:val="20"/>
                <w:szCs w:val="20"/>
                <w:u w:val="single"/>
              </w:rPr>
            </w:pPr>
            <w:r w:rsidRPr="000D1B33">
              <w:rPr>
                <w:rFonts w:ascii="Courier New" w:hAnsi="Courier New" w:cs="Courier New"/>
                <w:b/>
                <w:sz w:val="20"/>
                <w:szCs w:val="20"/>
                <w:u w:val="single"/>
              </w:rPr>
              <w:t>3</w:t>
            </w:r>
            <w:r w:rsidR="004C0850">
              <w:rPr>
                <w:rFonts w:ascii="Courier New" w:hAnsi="Courier New" w:cs="Courier New"/>
                <w:b/>
                <w:sz w:val="20"/>
                <w:szCs w:val="20"/>
                <w:u w:val="single"/>
              </w:rPr>
              <w:t>-3-</w:t>
            </w:r>
            <w:r w:rsidR="00E2480D" w:rsidRPr="00082541">
              <w:rPr>
                <w:rFonts w:ascii="Courier New" w:hAnsi="Courier New" w:cs="Courier New"/>
                <w:b/>
                <w:sz w:val="20"/>
                <w:szCs w:val="20"/>
                <w:u w:val="single"/>
              </w:rPr>
              <w:t>200</w:t>
            </w:r>
            <w:r>
              <w:rPr>
                <w:rFonts w:ascii="Courier New" w:hAnsi="Courier New" w:cs="Courier New"/>
                <w:b/>
                <w:sz w:val="20"/>
                <w:szCs w:val="20"/>
                <w:u w:val="single"/>
              </w:rPr>
              <w:t>7</w:t>
            </w:r>
          </w:p>
        </w:tc>
      </w:tr>
      <w:tr w:rsidR="00E2480D" w:rsidTr="00916856">
        <w:tc>
          <w:tcPr>
            <w:tcW w:w="3708" w:type="dxa"/>
          </w:tcPr>
          <w:p w:rsidR="00E2480D" w:rsidRDefault="00E2480D" w:rsidP="00F165A1">
            <w:pPr>
              <w:rPr>
                <w:rFonts w:ascii="Verdana" w:hAnsi="Verdana" w:cs="Arial"/>
                <w:sz w:val="24"/>
                <w:szCs w:val="24"/>
              </w:rPr>
            </w:pPr>
            <w:r>
              <w:rPr>
                <w:rFonts w:ascii="Verdana" w:hAnsi="Verdana" w:cs="Arial"/>
                <w:sz w:val="24"/>
                <w:szCs w:val="24"/>
              </w:rPr>
              <w:t>Income tax benefit</w:t>
            </w:r>
          </w:p>
        </w:tc>
        <w:tc>
          <w:tcPr>
            <w:tcW w:w="1440" w:type="dxa"/>
          </w:tcPr>
          <w:p w:rsidR="00E2480D"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7F51D2">
              <w:rPr>
                <w:rFonts w:ascii="Courier New" w:hAnsi="Courier New" w:cs="Courier New"/>
                <w:sz w:val="20"/>
                <w:szCs w:val="20"/>
              </w:rPr>
              <w:t>48</w:t>
            </w:r>
            <w:r w:rsidR="00916856">
              <w:rPr>
                <w:rFonts w:ascii="Courier New" w:hAnsi="Courier New" w:cs="Courier New"/>
                <w:sz w:val="20"/>
                <w:szCs w:val="20"/>
              </w:rPr>
              <w:t>.</w:t>
            </w:r>
            <w:r w:rsidR="007F51D2">
              <w:rPr>
                <w:rFonts w:ascii="Courier New" w:hAnsi="Courier New" w:cs="Courier New"/>
                <w:sz w:val="20"/>
                <w:szCs w:val="20"/>
              </w:rPr>
              <w:t>795</w:t>
            </w:r>
          </w:p>
        </w:tc>
        <w:tc>
          <w:tcPr>
            <w:tcW w:w="1530" w:type="dxa"/>
          </w:tcPr>
          <w:p w:rsidR="00E2480D"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7F51D2">
              <w:rPr>
                <w:rFonts w:ascii="Courier New" w:hAnsi="Courier New" w:cs="Courier New"/>
                <w:sz w:val="20"/>
                <w:szCs w:val="20"/>
              </w:rPr>
              <w:t>168</w:t>
            </w:r>
            <w:r w:rsidR="00916856">
              <w:rPr>
                <w:rFonts w:ascii="Courier New" w:hAnsi="Courier New" w:cs="Courier New"/>
                <w:sz w:val="20"/>
                <w:szCs w:val="20"/>
              </w:rPr>
              <w:t>.</w:t>
            </w:r>
            <w:r w:rsidR="007F51D2">
              <w:rPr>
                <w:rFonts w:ascii="Courier New" w:hAnsi="Courier New" w:cs="Courier New"/>
                <w:sz w:val="20"/>
                <w:szCs w:val="20"/>
              </w:rPr>
              <w:t>471</w:t>
            </w:r>
          </w:p>
        </w:tc>
        <w:tc>
          <w:tcPr>
            <w:tcW w:w="1530" w:type="dxa"/>
          </w:tcPr>
          <w:p w:rsidR="00E2480D" w:rsidRPr="00E2480D" w:rsidRDefault="007F51D2" w:rsidP="00AF3482">
            <w:pPr>
              <w:rPr>
                <w:rFonts w:ascii="Courier New" w:hAnsi="Courier New" w:cs="Courier New"/>
                <w:sz w:val="20"/>
                <w:szCs w:val="20"/>
              </w:rPr>
            </w:pPr>
            <w:r>
              <w:rPr>
                <w:rFonts w:ascii="Courier New" w:hAnsi="Courier New" w:cs="Courier New"/>
                <w:sz w:val="20"/>
                <w:szCs w:val="20"/>
              </w:rPr>
              <w:t>1</w:t>
            </w:r>
            <w:r w:rsidR="00916856">
              <w:rPr>
                <w:rFonts w:ascii="Courier New" w:hAnsi="Courier New" w:cs="Courier New"/>
                <w:sz w:val="20"/>
                <w:szCs w:val="20"/>
              </w:rPr>
              <w:t>,</w:t>
            </w:r>
            <w:r>
              <w:rPr>
                <w:rFonts w:ascii="Courier New" w:hAnsi="Courier New" w:cs="Courier New"/>
                <w:sz w:val="20"/>
                <w:szCs w:val="20"/>
              </w:rPr>
              <w:t>229</w:t>
            </w:r>
            <w:r w:rsidR="00916856">
              <w:rPr>
                <w:rFonts w:ascii="Courier New" w:hAnsi="Courier New" w:cs="Courier New"/>
                <w:sz w:val="20"/>
                <w:szCs w:val="20"/>
              </w:rPr>
              <w:t>.752</w:t>
            </w:r>
          </w:p>
        </w:tc>
        <w:tc>
          <w:tcPr>
            <w:tcW w:w="1368" w:type="dxa"/>
          </w:tcPr>
          <w:p w:rsidR="00E2480D"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916856">
              <w:rPr>
                <w:rFonts w:ascii="Courier New" w:hAnsi="Courier New" w:cs="Courier New"/>
                <w:sz w:val="20"/>
                <w:szCs w:val="20"/>
              </w:rPr>
              <w:t>13.244</w:t>
            </w:r>
          </w:p>
        </w:tc>
      </w:tr>
      <w:tr w:rsidR="00E2480D" w:rsidTr="00916856">
        <w:tc>
          <w:tcPr>
            <w:tcW w:w="3708" w:type="dxa"/>
          </w:tcPr>
          <w:p w:rsidR="00E2480D" w:rsidRDefault="00E2480D" w:rsidP="00F165A1">
            <w:pPr>
              <w:rPr>
                <w:rFonts w:ascii="Verdana" w:hAnsi="Verdana" w:cs="Arial"/>
                <w:sz w:val="24"/>
                <w:szCs w:val="24"/>
              </w:rPr>
            </w:pPr>
            <w:r>
              <w:rPr>
                <w:rFonts w:ascii="Verdana" w:hAnsi="Verdana" w:cs="Arial"/>
                <w:sz w:val="24"/>
                <w:szCs w:val="24"/>
              </w:rPr>
              <w:t xml:space="preserve">Net income </w:t>
            </w:r>
            <w:r w:rsidR="00082541">
              <w:rPr>
                <w:rFonts w:ascii="Verdana" w:hAnsi="Verdana" w:cs="Arial"/>
                <w:sz w:val="24"/>
                <w:szCs w:val="24"/>
              </w:rPr>
              <w:t>before tax</w:t>
            </w:r>
          </w:p>
        </w:tc>
        <w:tc>
          <w:tcPr>
            <w:tcW w:w="1440" w:type="dxa"/>
          </w:tcPr>
          <w:p w:rsidR="00E2480D"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7F51D2">
              <w:rPr>
                <w:rFonts w:ascii="Courier New" w:hAnsi="Courier New" w:cs="Courier New"/>
                <w:sz w:val="20"/>
                <w:szCs w:val="20"/>
              </w:rPr>
              <w:t>34</w:t>
            </w:r>
            <w:r w:rsidR="00916856">
              <w:rPr>
                <w:rFonts w:ascii="Courier New" w:hAnsi="Courier New" w:cs="Courier New"/>
                <w:sz w:val="20"/>
                <w:szCs w:val="20"/>
              </w:rPr>
              <w:t>.</w:t>
            </w:r>
            <w:r w:rsidR="007F51D2">
              <w:rPr>
                <w:rFonts w:ascii="Courier New" w:hAnsi="Courier New" w:cs="Courier New"/>
                <w:sz w:val="20"/>
                <w:szCs w:val="20"/>
              </w:rPr>
              <w:t>584</w:t>
            </w:r>
          </w:p>
        </w:tc>
        <w:tc>
          <w:tcPr>
            <w:tcW w:w="1530" w:type="dxa"/>
          </w:tcPr>
          <w:p w:rsidR="00E2480D"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7F51D2">
              <w:rPr>
                <w:rFonts w:ascii="Courier New" w:hAnsi="Courier New" w:cs="Courier New"/>
                <w:sz w:val="20"/>
                <w:szCs w:val="20"/>
              </w:rPr>
              <w:t>134</w:t>
            </w:r>
            <w:r w:rsidR="00916856">
              <w:rPr>
                <w:rFonts w:ascii="Courier New" w:hAnsi="Courier New" w:cs="Courier New"/>
                <w:sz w:val="20"/>
                <w:szCs w:val="20"/>
              </w:rPr>
              <w:t>.</w:t>
            </w:r>
            <w:r w:rsidR="007F51D2">
              <w:rPr>
                <w:rFonts w:ascii="Courier New" w:hAnsi="Courier New" w:cs="Courier New"/>
                <w:sz w:val="20"/>
                <w:szCs w:val="20"/>
              </w:rPr>
              <w:t>007</w:t>
            </w:r>
          </w:p>
        </w:tc>
        <w:tc>
          <w:tcPr>
            <w:tcW w:w="1530" w:type="dxa"/>
          </w:tcPr>
          <w:p w:rsidR="00E2480D"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916856">
              <w:rPr>
                <w:rFonts w:ascii="Courier New" w:hAnsi="Courier New" w:cs="Courier New"/>
                <w:sz w:val="20"/>
                <w:szCs w:val="20"/>
              </w:rPr>
              <w:t>43.254</w:t>
            </w:r>
          </w:p>
        </w:tc>
        <w:tc>
          <w:tcPr>
            <w:tcW w:w="1368" w:type="dxa"/>
          </w:tcPr>
          <w:p w:rsidR="00E2480D"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916856">
              <w:rPr>
                <w:rFonts w:ascii="Courier New" w:hAnsi="Courier New" w:cs="Courier New"/>
                <w:sz w:val="20"/>
                <w:szCs w:val="20"/>
              </w:rPr>
              <w:t>13.582</w:t>
            </w:r>
          </w:p>
        </w:tc>
      </w:tr>
      <w:tr w:rsidR="00E2480D" w:rsidTr="00916856">
        <w:tc>
          <w:tcPr>
            <w:tcW w:w="3708" w:type="dxa"/>
          </w:tcPr>
          <w:p w:rsidR="00E2480D" w:rsidRDefault="00E2480D" w:rsidP="00F165A1">
            <w:pPr>
              <w:rPr>
                <w:rFonts w:ascii="Verdana" w:hAnsi="Verdana" w:cs="Arial"/>
                <w:sz w:val="24"/>
                <w:szCs w:val="24"/>
              </w:rPr>
            </w:pPr>
          </w:p>
        </w:tc>
        <w:tc>
          <w:tcPr>
            <w:tcW w:w="1440" w:type="dxa"/>
          </w:tcPr>
          <w:p w:rsidR="00E2480D" w:rsidRPr="00E2480D" w:rsidRDefault="00E2480D" w:rsidP="00AF3482">
            <w:pPr>
              <w:rPr>
                <w:rFonts w:ascii="Courier New" w:hAnsi="Courier New" w:cs="Courier New"/>
                <w:sz w:val="20"/>
                <w:szCs w:val="20"/>
              </w:rPr>
            </w:pPr>
          </w:p>
        </w:tc>
        <w:tc>
          <w:tcPr>
            <w:tcW w:w="1530" w:type="dxa"/>
          </w:tcPr>
          <w:p w:rsidR="00E2480D" w:rsidRPr="00E2480D" w:rsidRDefault="00E2480D" w:rsidP="00AF3482">
            <w:pPr>
              <w:rPr>
                <w:rFonts w:ascii="Courier New" w:hAnsi="Courier New" w:cs="Courier New"/>
                <w:sz w:val="20"/>
                <w:szCs w:val="20"/>
              </w:rPr>
            </w:pPr>
          </w:p>
        </w:tc>
        <w:tc>
          <w:tcPr>
            <w:tcW w:w="1530" w:type="dxa"/>
          </w:tcPr>
          <w:p w:rsidR="00E2480D" w:rsidRPr="00E2480D" w:rsidRDefault="00E2480D" w:rsidP="00AF3482">
            <w:pPr>
              <w:rPr>
                <w:rFonts w:ascii="Courier New" w:hAnsi="Courier New" w:cs="Courier New"/>
                <w:sz w:val="20"/>
                <w:szCs w:val="20"/>
              </w:rPr>
            </w:pPr>
          </w:p>
        </w:tc>
        <w:tc>
          <w:tcPr>
            <w:tcW w:w="1368" w:type="dxa"/>
          </w:tcPr>
          <w:p w:rsidR="00E2480D" w:rsidRPr="00E2480D" w:rsidRDefault="00E2480D" w:rsidP="00AF3482">
            <w:pPr>
              <w:rPr>
                <w:rFonts w:ascii="Courier New" w:hAnsi="Courier New" w:cs="Courier New"/>
                <w:sz w:val="20"/>
                <w:szCs w:val="20"/>
              </w:rPr>
            </w:pPr>
          </w:p>
        </w:tc>
      </w:tr>
      <w:tr w:rsidR="00E2480D" w:rsidTr="00916856">
        <w:tc>
          <w:tcPr>
            <w:tcW w:w="3708" w:type="dxa"/>
          </w:tcPr>
          <w:p w:rsidR="00E2480D" w:rsidRDefault="00082541" w:rsidP="00F165A1">
            <w:pPr>
              <w:rPr>
                <w:rFonts w:ascii="Verdana" w:hAnsi="Verdana" w:cs="Arial"/>
                <w:sz w:val="24"/>
                <w:szCs w:val="24"/>
              </w:rPr>
            </w:pPr>
            <w:r>
              <w:rPr>
                <w:rFonts w:ascii="Verdana" w:hAnsi="Verdana" w:cs="Arial"/>
                <w:sz w:val="24"/>
                <w:szCs w:val="24"/>
              </w:rPr>
              <w:t>Net income</w:t>
            </w:r>
          </w:p>
        </w:tc>
        <w:tc>
          <w:tcPr>
            <w:tcW w:w="1440" w:type="dxa"/>
          </w:tcPr>
          <w:p w:rsidR="00E2480D"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7F51D2">
              <w:rPr>
                <w:rFonts w:ascii="Courier New" w:hAnsi="Courier New" w:cs="Courier New"/>
                <w:sz w:val="20"/>
                <w:szCs w:val="20"/>
              </w:rPr>
              <w:t>83</w:t>
            </w:r>
            <w:r w:rsidR="00916856">
              <w:rPr>
                <w:rFonts w:ascii="Courier New" w:hAnsi="Courier New" w:cs="Courier New"/>
                <w:sz w:val="20"/>
                <w:szCs w:val="20"/>
              </w:rPr>
              <w:t>.</w:t>
            </w:r>
            <w:r w:rsidR="007F51D2">
              <w:rPr>
                <w:rFonts w:ascii="Courier New" w:hAnsi="Courier New" w:cs="Courier New"/>
                <w:sz w:val="20"/>
                <w:szCs w:val="20"/>
              </w:rPr>
              <w:t>379</w:t>
            </w:r>
          </w:p>
        </w:tc>
        <w:tc>
          <w:tcPr>
            <w:tcW w:w="1530" w:type="dxa"/>
          </w:tcPr>
          <w:p w:rsidR="00E2480D"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7F51D2">
              <w:rPr>
                <w:rFonts w:ascii="Courier New" w:hAnsi="Courier New" w:cs="Courier New"/>
                <w:sz w:val="20"/>
                <w:szCs w:val="20"/>
              </w:rPr>
              <w:t>302</w:t>
            </w:r>
            <w:r w:rsidR="000D1B33">
              <w:rPr>
                <w:rFonts w:ascii="Courier New" w:hAnsi="Courier New" w:cs="Courier New"/>
                <w:sz w:val="20"/>
                <w:szCs w:val="20"/>
              </w:rPr>
              <w:t>.</w:t>
            </w:r>
            <w:r w:rsidR="007F51D2">
              <w:rPr>
                <w:rFonts w:ascii="Courier New" w:hAnsi="Courier New" w:cs="Courier New"/>
                <w:sz w:val="20"/>
                <w:szCs w:val="20"/>
              </w:rPr>
              <w:t>478</w:t>
            </w:r>
          </w:p>
        </w:tc>
        <w:tc>
          <w:tcPr>
            <w:tcW w:w="1530" w:type="dxa"/>
          </w:tcPr>
          <w:p w:rsidR="00E2480D" w:rsidRPr="00E2480D" w:rsidRDefault="00916856" w:rsidP="00AF3482">
            <w:pPr>
              <w:rPr>
                <w:rFonts w:ascii="Courier New" w:hAnsi="Courier New" w:cs="Courier New"/>
                <w:sz w:val="20"/>
                <w:szCs w:val="20"/>
              </w:rPr>
            </w:pPr>
            <w:r>
              <w:rPr>
                <w:rFonts w:ascii="Courier New" w:hAnsi="Courier New" w:cs="Courier New"/>
                <w:sz w:val="20"/>
                <w:szCs w:val="20"/>
              </w:rPr>
              <w:t>1,273.006</w:t>
            </w:r>
          </w:p>
        </w:tc>
        <w:tc>
          <w:tcPr>
            <w:tcW w:w="1368" w:type="dxa"/>
          </w:tcPr>
          <w:p w:rsidR="00E2480D"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916856">
              <w:rPr>
                <w:rFonts w:ascii="Courier New" w:hAnsi="Courier New" w:cs="Courier New"/>
                <w:sz w:val="20"/>
                <w:szCs w:val="20"/>
              </w:rPr>
              <w:t>26.826</w:t>
            </w:r>
          </w:p>
        </w:tc>
      </w:tr>
      <w:tr w:rsidR="00082541" w:rsidTr="00916856">
        <w:tc>
          <w:tcPr>
            <w:tcW w:w="3708" w:type="dxa"/>
          </w:tcPr>
          <w:p w:rsidR="00082541" w:rsidRDefault="00082541" w:rsidP="00F165A1">
            <w:pPr>
              <w:rPr>
                <w:rFonts w:ascii="Verdana" w:hAnsi="Verdana" w:cs="Arial"/>
                <w:sz w:val="24"/>
                <w:szCs w:val="24"/>
              </w:rPr>
            </w:pPr>
            <w:r>
              <w:rPr>
                <w:rFonts w:ascii="Verdana" w:hAnsi="Verdana" w:cs="Arial"/>
                <w:sz w:val="24"/>
                <w:szCs w:val="24"/>
              </w:rPr>
              <w:t>Tax benefit to net income</w:t>
            </w:r>
          </w:p>
        </w:tc>
        <w:tc>
          <w:tcPr>
            <w:tcW w:w="1440" w:type="dxa"/>
          </w:tcPr>
          <w:p w:rsidR="00082541"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7F51D2">
              <w:rPr>
                <w:rFonts w:ascii="Courier New" w:hAnsi="Courier New" w:cs="Courier New"/>
                <w:sz w:val="20"/>
                <w:szCs w:val="20"/>
              </w:rPr>
              <w:t>58.52%</w:t>
            </w:r>
          </w:p>
        </w:tc>
        <w:tc>
          <w:tcPr>
            <w:tcW w:w="1530" w:type="dxa"/>
          </w:tcPr>
          <w:p w:rsidR="00082541"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7F51D2">
              <w:rPr>
                <w:rFonts w:ascii="Courier New" w:hAnsi="Courier New" w:cs="Courier New"/>
                <w:sz w:val="20"/>
                <w:szCs w:val="20"/>
              </w:rPr>
              <w:t>55.70%</w:t>
            </w:r>
          </w:p>
        </w:tc>
        <w:tc>
          <w:tcPr>
            <w:tcW w:w="1530" w:type="dxa"/>
          </w:tcPr>
          <w:p w:rsidR="00082541"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916856">
              <w:rPr>
                <w:rFonts w:ascii="Courier New" w:hAnsi="Courier New" w:cs="Courier New"/>
                <w:sz w:val="20"/>
                <w:szCs w:val="20"/>
              </w:rPr>
              <w:t>96.6%</w:t>
            </w:r>
          </w:p>
        </w:tc>
        <w:tc>
          <w:tcPr>
            <w:tcW w:w="1368" w:type="dxa"/>
          </w:tcPr>
          <w:p w:rsidR="00082541" w:rsidRPr="00E2480D" w:rsidRDefault="00AF3482" w:rsidP="00AF3482">
            <w:pPr>
              <w:spacing w:line="360" w:lineRule="auto"/>
              <w:rPr>
                <w:rFonts w:ascii="Courier New" w:hAnsi="Courier New" w:cs="Courier New"/>
                <w:sz w:val="20"/>
                <w:szCs w:val="20"/>
              </w:rPr>
            </w:pPr>
            <w:r>
              <w:rPr>
                <w:rFonts w:ascii="Courier New" w:hAnsi="Courier New" w:cs="Courier New"/>
                <w:sz w:val="20"/>
                <w:szCs w:val="20"/>
              </w:rPr>
              <w:t xml:space="preserve">   </w:t>
            </w:r>
            <w:r w:rsidR="00916856">
              <w:rPr>
                <w:rFonts w:ascii="Courier New" w:hAnsi="Courier New" w:cs="Courier New"/>
                <w:sz w:val="20"/>
                <w:szCs w:val="20"/>
              </w:rPr>
              <w:t>49.37</w:t>
            </w:r>
            <w:r w:rsidR="000D1B33">
              <w:rPr>
                <w:rFonts w:ascii="Courier New" w:hAnsi="Courier New" w:cs="Courier New"/>
                <w:sz w:val="20"/>
                <w:szCs w:val="20"/>
              </w:rPr>
              <w:t>%</w:t>
            </w:r>
          </w:p>
        </w:tc>
      </w:tr>
      <w:tr w:rsidR="00E2480D" w:rsidTr="00916856">
        <w:tc>
          <w:tcPr>
            <w:tcW w:w="3708" w:type="dxa"/>
          </w:tcPr>
          <w:p w:rsidR="00E2480D" w:rsidRDefault="00E2480D" w:rsidP="00F165A1">
            <w:pPr>
              <w:rPr>
                <w:rFonts w:ascii="Verdana" w:hAnsi="Verdana" w:cs="Arial"/>
                <w:sz w:val="24"/>
                <w:szCs w:val="24"/>
              </w:rPr>
            </w:pPr>
          </w:p>
        </w:tc>
        <w:tc>
          <w:tcPr>
            <w:tcW w:w="1440" w:type="dxa"/>
          </w:tcPr>
          <w:p w:rsidR="00E2480D" w:rsidRPr="00E2480D" w:rsidRDefault="00E2480D" w:rsidP="00AF3482">
            <w:pPr>
              <w:rPr>
                <w:rFonts w:ascii="Courier New" w:hAnsi="Courier New" w:cs="Courier New"/>
                <w:sz w:val="20"/>
                <w:szCs w:val="20"/>
              </w:rPr>
            </w:pPr>
          </w:p>
        </w:tc>
        <w:tc>
          <w:tcPr>
            <w:tcW w:w="1530" w:type="dxa"/>
          </w:tcPr>
          <w:p w:rsidR="00E2480D" w:rsidRPr="00E2480D" w:rsidRDefault="00E2480D" w:rsidP="00AF3482">
            <w:pPr>
              <w:rPr>
                <w:rFonts w:ascii="Courier New" w:hAnsi="Courier New" w:cs="Courier New"/>
                <w:sz w:val="20"/>
                <w:szCs w:val="20"/>
              </w:rPr>
            </w:pPr>
          </w:p>
        </w:tc>
        <w:tc>
          <w:tcPr>
            <w:tcW w:w="1530" w:type="dxa"/>
          </w:tcPr>
          <w:p w:rsidR="00E2480D" w:rsidRPr="00E2480D" w:rsidRDefault="00E2480D" w:rsidP="00AF3482">
            <w:pPr>
              <w:rPr>
                <w:rFonts w:ascii="Courier New" w:hAnsi="Courier New" w:cs="Courier New"/>
                <w:sz w:val="20"/>
                <w:szCs w:val="20"/>
              </w:rPr>
            </w:pPr>
          </w:p>
        </w:tc>
        <w:tc>
          <w:tcPr>
            <w:tcW w:w="1368" w:type="dxa"/>
          </w:tcPr>
          <w:p w:rsidR="00E2480D" w:rsidRPr="00E2480D" w:rsidRDefault="00E2480D" w:rsidP="00AF3482">
            <w:pPr>
              <w:rPr>
                <w:rFonts w:ascii="Courier New" w:hAnsi="Courier New" w:cs="Courier New"/>
                <w:sz w:val="20"/>
                <w:szCs w:val="20"/>
              </w:rPr>
            </w:pPr>
          </w:p>
        </w:tc>
      </w:tr>
      <w:tr w:rsidR="00E2480D" w:rsidTr="00916856">
        <w:tc>
          <w:tcPr>
            <w:tcW w:w="3708" w:type="dxa"/>
          </w:tcPr>
          <w:p w:rsidR="00E2480D" w:rsidRDefault="00082541" w:rsidP="00F165A1">
            <w:pPr>
              <w:rPr>
                <w:rFonts w:ascii="Verdana" w:hAnsi="Verdana" w:cs="Arial"/>
                <w:sz w:val="24"/>
                <w:szCs w:val="24"/>
              </w:rPr>
            </w:pPr>
            <w:r>
              <w:rPr>
                <w:rFonts w:ascii="Verdana" w:hAnsi="Verdana" w:cs="Arial"/>
                <w:sz w:val="24"/>
                <w:szCs w:val="24"/>
              </w:rPr>
              <w:t>Valuation allowance</w:t>
            </w:r>
          </w:p>
        </w:tc>
        <w:tc>
          <w:tcPr>
            <w:tcW w:w="1440" w:type="dxa"/>
          </w:tcPr>
          <w:p w:rsidR="00E2480D" w:rsidRPr="00E2480D" w:rsidRDefault="00E2480D" w:rsidP="00AF3482">
            <w:pPr>
              <w:rPr>
                <w:rFonts w:ascii="Courier New" w:hAnsi="Courier New" w:cs="Courier New"/>
                <w:sz w:val="20"/>
                <w:szCs w:val="20"/>
              </w:rPr>
            </w:pPr>
            <w:r>
              <w:rPr>
                <w:rFonts w:ascii="Courier New" w:hAnsi="Courier New" w:cs="Courier New"/>
                <w:sz w:val="20"/>
                <w:szCs w:val="20"/>
              </w:rPr>
              <w:t>1,650</w:t>
            </w:r>
            <w:r w:rsidR="00916856">
              <w:rPr>
                <w:rFonts w:ascii="Courier New" w:hAnsi="Courier New" w:cs="Courier New"/>
                <w:sz w:val="20"/>
                <w:szCs w:val="20"/>
              </w:rPr>
              <w:t>.</w:t>
            </w:r>
            <w:r>
              <w:rPr>
                <w:rFonts w:ascii="Courier New" w:hAnsi="Courier New" w:cs="Courier New"/>
                <w:sz w:val="20"/>
                <w:szCs w:val="20"/>
              </w:rPr>
              <w:t>967</w:t>
            </w:r>
          </w:p>
        </w:tc>
        <w:tc>
          <w:tcPr>
            <w:tcW w:w="1530" w:type="dxa"/>
          </w:tcPr>
          <w:p w:rsidR="00E2480D" w:rsidRPr="00E2480D" w:rsidRDefault="00E2480D" w:rsidP="00AF3482">
            <w:pPr>
              <w:rPr>
                <w:rFonts w:ascii="Courier New" w:hAnsi="Courier New" w:cs="Courier New"/>
                <w:sz w:val="20"/>
                <w:szCs w:val="20"/>
              </w:rPr>
            </w:pPr>
            <w:r>
              <w:rPr>
                <w:rFonts w:ascii="Courier New" w:hAnsi="Courier New" w:cs="Courier New"/>
                <w:sz w:val="20"/>
                <w:szCs w:val="20"/>
              </w:rPr>
              <w:t>1,436</w:t>
            </w:r>
            <w:r w:rsidR="00916856">
              <w:rPr>
                <w:rFonts w:ascii="Courier New" w:hAnsi="Courier New" w:cs="Courier New"/>
                <w:sz w:val="20"/>
                <w:szCs w:val="20"/>
              </w:rPr>
              <w:t>.</w:t>
            </w:r>
            <w:r>
              <w:rPr>
                <w:rFonts w:ascii="Courier New" w:hAnsi="Courier New" w:cs="Courier New"/>
                <w:sz w:val="20"/>
                <w:szCs w:val="20"/>
              </w:rPr>
              <w:t>570</w:t>
            </w:r>
          </w:p>
        </w:tc>
        <w:tc>
          <w:tcPr>
            <w:tcW w:w="1530" w:type="dxa"/>
          </w:tcPr>
          <w:p w:rsidR="00E2480D"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E2480D">
              <w:rPr>
                <w:rFonts w:ascii="Courier New" w:hAnsi="Courier New" w:cs="Courier New"/>
                <w:sz w:val="20"/>
                <w:szCs w:val="20"/>
              </w:rPr>
              <w:t>259</w:t>
            </w:r>
            <w:r w:rsidR="00916856">
              <w:rPr>
                <w:rFonts w:ascii="Courier New" w:hAnsi="Courier New" w:cs="Courier New"/>
                <w:sz w:val="20"/>
                <w:szCs w:val="20"/>
              </w:rPr>
              <w:t>.</w:t>
            </w:r>
            <w:r w:rsidR="00E2480D">
              <w:rPr>
                <w:rFonts w:ascii="Courier New" w:hAnsi="Courier New" w:cs="Courier New"/>
                <w:sz w:val="20"/>
                <w:szCs w:val="20"/>
              </w:rPr>
              <w:t>602</w:t>
            </w:r>
          </w:p>
        </w:tc>
        <w:tc>
          <w:tcPr>
            <w:tcW w:w="1368" w:type="dxa"/>
          </w:tcPr>
          <w:p w:rsidR="00E2480D" w:rsidRPr="00E2480D" w:rsidRDefault="00AF3482" w:rsidP="00AF3482">
            <w:pPr>
              <w:rPr>
                <w:rFonts w:ascii="Courier New" w:hAnsi="Courier New" w:cs="Courier New"/>
                <w:sz w:val="20"/>
                <w:szCs w:val="20"/>
              </w:rPr>
            </w:pPr>
            <w:r>
              <w:rPr>
                <w:rFonts w:ascii="Courier New" w:hAnsi="Courier New" w:cs="Courier New"/>
                <w:sz w:val="20"/>
                <w:szCs w:val="20"/>
              </w:rPr>
              <w:t xml:space="preserve">  </w:t>
            </w:r>
            <w:r w:rsidR="00E2480D">
              <w:rPr>
                <w:rFonts w:ascii="Courier New" w:hAnsi="Courier New" w:cs="Courier New"/>
                <w:sz w:val="20"/>
                <w:szCs w:val="20"/>
              </w:rPr>
              <w:t>239</w:t>
            </w:r>
            <w:r w:rsidR="00916856">
              <w:rPr>
                <w:rFonts w:ascii="Courier New" w:hAnsi="Courier New" w:cs="Courier New"/>
                <w:sz w:val="20"/>
                <w:szCs w:val="20"/>
              </w:rPr>
              <w:t>.</w:t>
            </w:r>
            <w:r w:rsidR="00E2480D">
              <w:rPr>
                <w:rFonts w:ascii="Courier New" w:hAnsi="Courier New" w:cs="Courier New"/>
                <w:sz w:val="20"/>
                <w:szCs w:val="20"/>
              </w:rPr>
              <w:t>836</w:t>
            </w:r>
          </w:p>
        </w:tc>
      </w:tr>
    </w:tbl>
    <w:p w:rsidR="00E2480D" w:rsidRDefault="00E2480D" w:rsidP="00F165A1">
      <w:pPr>
        <w:rPr>
          <w:rFonts w:ascii="Verdana" w:hAnsi="Verdana" w:cs="Arial"/>
          <w:sz w:val="24"/>
          <w:szCs w:val="24"/>
        </w:rPr>
      </w:pPr>
    </w:p>
    <w:p w:rsidR="00E2480D" w:rsidRDefault="00E2480D" w:rsidP="00F165A1">
      <w:pPr>
        <w:rPr>
          <w:rFonts w:ascii="Verdana" w:hAnsi="Verdana" w:cs="Arial"/>
          <w:sz w:val="24"/>
          <w:szCs w:val="24"/>
        </w:rPr>
      </w:pPr>
    </w:p>
    <w:p w:rsidR="009A3107" w:rsidRPr="00BE09CB" w:rsidRDefault="009264F3">
      <w:pPr>
        <w:rPr>
          <w:rFonts w:ascii="Verdana" w:hAnsi="Verdana" w:cs="Arial"/>
          <w:sz w:val="24"/>
          <w:szCs w:val="24"/>
        </w:rPr>
      </w:pPr>
      <w:r w:rsidRPr="00BE09CB">
        <w:rPr>
          <w:rFonts w:ascii="Verdana" w:hAnsi="Verdana" w:cs="Arial"/>
          <w:sz w:val="24"/>
          <w:szCs w:val="24"/>
        </w:rPr>
        <w:t>This</w:t>
      </w:r>
      <w:r w:rsidR="00A055B1" w:rsidRPr="00BE09CB">
        <w:rPr>
          <w:rFonts w:ascii="Verdana" w:hAnsi="Verdana" w:cs="Arial"/>
          <w:sz w:val="24"/>
          <w:szCs w:val="24"/>
        </w:rPr>
        <w:t xml:space="preserve"> accrual reversal</w:t>
      </w:r>
      <w:r w:rsidRPr="00BE09CB">
        <w:rPr>
          <w:rFonts w:ascii="Verdana" w:hAnsi="Verdana" w:cs="Arial"/>
          <w:sz w:val="24"/>
          <w:szCs w:val="24"/>
        </w:rPr>
        <w:t xml:space="preserve"> is absolutely incredible given that the Company reported losses from continuing operations in all three of the preceding three years</w:t>
      </w:r>
      <w:r w:rsidR="00137180" w:rsidRPr="00BE09CB">
        <w:rPr>
          <w:rFonts w:ascii="Verdana" w:hAnsi="Verdana" w:cs="Arial"/>
          <w:sz w:val="24"/>
          <w:szCs w:val="24"/>
        </w:rPr>
        <w:t xml:space="preserve">!  This three-year look-back is a common “rule of thumb” to justify the reversal of tax valuation allowances, and it clearly was breached.  </w:t>
      </w:r>
      <w:r w:rsidR="00A055B1" w:rsidRPr="00BE09CB">
        <w:rPr>
          <w:rFonts w:ascii="Verdana" w:hAnsi="Verdana" w:cs="Arial"/>
          <w:sz w:val="24"/>
          <w:szCs w:val="24"/>
        </w:rPr>
        <w:t>Exactly</w:t>
      </w:r>
      <w:r w:rsidR="00091631">
        <w:rPr>
          <w:rFonts w:ascii="Verdana" w:hAnsi="Verdana" w:cs="Arial"/>
          <w:sz w:val="24"/>
          <w:szCs w:val="24"/>
        </w:rPr>
        <w:t xml:space="preserve"> </w:t>
      </w:r>
      <w:r w:rsidR="00A055B1" w:rsidRPr="00BE09CB">
        <w:rPr>
          <w:rFonts w:ascii="Verdana" w:hAnsi="Verdana" w:cs="Arial"/>
          <w:sz w:val="24"/>
          <w:szCs w:val="24"/>
        </w:rPr>
        <w:lastRenderedPageBreak/>
        <w:t xml:space="preserve">where is the proof that taxable income will be generated in the future against which deferred tax assets will be applied?  </w:t>
      </w:r>
      <w:r w:rsidR="00137180" w:rsidRPr="00BE09CB">
        <w:rPr>
          <w:rFonts w:ascii="Verdana" w:hAnsi="Verdana" w:cs="Arial"/>
          <w:sz w:val="24"/>
          <w:szCs w:val="24"/>
        </w:rPr>
        <w:t>Equally troubling is complete lack of disclosure detail on why the reversal was justified.  When over half of the bottom line is due to a questionable accrual reversal, one would think some specifics are warranted.  And of course, where was Deloitte?  Apparently, the Deloitte auditors picked right up where KPMG left off in 1999, and chose to look the other way on the accrual reversal</w:t>
      </w:r>
      <w:r w:rsidR="000D7812" w:rsidRPr="00BE09CB">
        <w:rPr>
          <w:rFonts w:ascii="Verdana" w:hAnsi="Verdana" w:cs="Arial"/>
          <w:sz w:val="24"/>
          <w:szCs w:val="24"/>
        </w:rPr>
        <w:t xml:space="preserve"> (or are they on some of the meds their client sells)</w:t>
      </w:r>
      <w:r w:rsidR="00137180" w:rsidRPr="00BE09CB">
        <w:rPr>
          <w:rFonts w:ascii="Verdana" w:hAnsi="Verdana" w:cs="Arial"/>
          <w:sz w:val="24"/>
          <w:szCs w:val="24"/>
        </w:rPr>
        <w:t xml:space="preserve">.  To their credit, however, apparently Deloitte recognized the error </w:t>
      </w:r>
      <w:r w:rsidR="000D7812" w:rsidRPr="00BE09CB">
        <w:rPr>
          <w:rFonts w:ascii="Verdana" w:hAnsi="Verdana" w:cs="Arial"/>
          <w:sz w:val="24"/>
          <w:szCs w:val="24"/>
        </w:rPr>
        <w:t xml:space="preserve">of their ways </w:t>
      </w:r>
      <w:r w:rsidR="00137180" w:rsidRPr="00BE09CB">
        <w:rPr>
          <w:rFonts w:ascii="Verdana" w:hAnsi="Verdana" w:cs="Arial"/>
          <w:sz w:val="24"/>
          <w:szCs w:val="24"/>
        </w:rPr>
        <w:t xml:space="preserve">and required the </w:t>
      </w:r>
      <w:r w:rsidR="000D7812" w:rsidRPr="00BE09CB">
        <w:rPr>
          <w:rFonts w:ascii="Verdana" w:hAnsi="Verdana" w:cs="Arial"/>
          <w:sz w:val="24"/>
          <w:szCs w:val="24"/>
        </w:rPr>
        <w:t xml:space="preserve">Company to </w:t>
      </w:r>
      <w:r w:rsidR="00137180" w:rsidRPr="00BE09CB">
        <w:rPr>
          <w:rFonts w:ascii="Verdana" w:hAnsi="Verdana" w:cs="Arial"/>
          <w:sz w:val="24"/>
          <w:szCs w:val="24"/>
        </w:rPr>
        <w:t>reinstate</w:t>
      </w:r>
      <w:r w:rsidR="000D7812" w:rsidRPr="00BE09CB">
        <w:rPr>
          <w:rFonts w:ascii="Verdana" w:hAnsi="Verdana" w:cs="Arial"/>
          <w:sz w:val="24"/>
          <w:szCs w:val="24"/>
        </w:rPr>
        <w:t xml:space="preserve"> </w:t>
      </w:r>
      <w:r w:rsidR="00137180" w:rsidRPr="00BE09CB">
        <w:rPr>
          <w:rFonts w:ascii="Verdana" w:hAnsi="Verdana" w:cs="Arial"/>
          <w:sz w:val="24"/>
          <w:szCs w:val="24"/>
        </w:rPr>
        <w:t>the tax</w:t>
      </w:r>
      <w:r w:rsidR="000D7812" w:rsidRPr="00BE09CB">
        <w:rPr>
          <w:rFonts w:ascii="Verdana" w:hAnsi="Verdana" w:cs="Arial"/>
          <w:sz w:val="24"/>
          <w:szCs w:val="24"/>
        </w:rPr>
        <w:t xml:space="preserve"> asset valuation allowance in increments during the past three years.  What changed?  Probably the realization that their client was not going to make it, and that their work would likely be scrutinized more closely once Rite Aid ultimately collapses under its debt burden.</w:t>
      </w:r>
    </w:p>
    <w:p w:rsidR="009A3107" w:rsidRDefault="009A3107" w:rsidP="009A3107">
      <w:pPr>
        <w:rPr>
          <w:rFonts w:ascii="Verdana" w:hAnsi="Verdana" w:cs="Arial"/>
          <w:sz w:val="24"/>
          <w:szCs w:val="24"/>
        </w:rPr>
      </w:pPr>
    </w:p>
    <w:p w:rsidR="00BE09CB" w:rsidRDefault="006B133E" w:rsidP="009A3107">
      <w:pPr>
        <w:rPr>
          <w:rFonts w:ascii="Verdana" w:hAnsi="Verdana" w:cs="Arial"/>
          <w:sz w:val="24"/>
          <w:szCs w:val="24"/>
        </w:rPr>
      </w:pPr>
      <w:r>
        <w:rPr>
          <w:rFonts w:ascii="Verdana" w:hAnsi="Verdana" w:cs="Arial"/>
          <w:sz w:val="24"/>
          <w:szCs w:val="24"/>
        </w:rPr>
        <w:t xml:space="preserve">And let’s not forget that for this same period of time, the Company was required by the SEC to restate its financial statements for </w:t>
      </w:r>
      <w:hyperlink r:id="rId10" w:history="1">
        <w:r w:rsidRPr="006B133E">
          <w:rPr>
            <w:rStyle w:val="Hyperlink"/>
            <w:rFonts w:ascii="Verdana" w:hAnsi="Verdana" w:cs="Arial"/>
            <w:sz w:val="24"/>
            <w:szCs w:val="24"/>
          </w:rPr>
          <w:t>errors</w:t>
        </w:r>
      </w:hyperlink>
      <w:r>
        <w:rPr>
          <w:rFonts w:ascii="Verdana" w:hAnsi="Verdana" w:cs="Arial"/>
          <w:sz w:val="24"/>
          <w:szCs w:val="24"/>
        </w:rPr>
        <w:t xml:space="preserve"> in accounting for rent during construction periods and leasehold improvement amortization.  More carelessness when it comes to financial reporting.</w:t>
      </w:r>
    </w:p>
    <w:p w:rsidR="006B133E" w:rsidRPr="00BE09CB" w:rsidRDefault="006B133E" w:rsidP="009A3107">
      <w:pPr>
        <w:rPr>
          <w:rFonts w:ascii="Verdana" w:hAnsi="Verdana" w:cs="Arial"/>
          <w:sz w:val="24"/>
          <w:szCs w:val="24"/>
        </w:rPr>
      </w:pPr>
    </w:p>
    <w:p w:rsidR="0005599F" w:rsidRPr="00BE09CB" w:rsidRDefault="0005599F" w:rsidP="009A3107">
      <w:pPr>
        <w:rPr>
          <w:rFonts w:ascii="Verdana" w:hAnsi="Verdana" w:cs="Arial"/>
          <w:sz w:val="24"/>
          <w:szCs w:val="24"/>
        </w:rPr>
      </w:pPr>
      <w:r w:rsidRPr="00BE09CB">
        <w:rPr>
          <w:rFonts w:ascii="Verdana" w:hAnsi="Verdana" w:cs="Arial"/>
          <w:sz w:val="24"/>
          <w:szCs w:val="24"/>
        </w:rPr>
        <w:t xml:space="preserve">Still want more proof?  </w:t>
      </w:r>
      <w:r w:rsidR="00A055B1" w:rsidRPr="00BE09CB">
        <w:rPr>
          <w:rFonts w:ascii="Verdana" w:hAnsi="Verdana" w:cs="Arial"/>
          <w:sz w:val="24"/>
          <w:szCs w:val="24"/>
        </w:rPr>
        <w:t>Then just check out the Company’s most recent 10K disclosure of non-GAAP measures.</w:t>
      </w:r>
      <w:r w:rsidR="00DA632A" w:rsidRPr="00BE09CB">
        <w:rPr>
          <w:rFonts w:ascii="Verdana" w:hAnsi="Verdana" w:cs="Arial"/>
          <w:sz w:val="24"/>
          <w:szCs w:val="24"/>
        </w:rPr>
        <w:t xml:space="preserve">  Why does management even bother?  Do they really think investors will believe </w:t>
      </w:r>
      <w:r w:rsidR="001A5336" w:rsidRPr="00BE09CB">
        <w:rPr>
          <w:rFonts w:ascii="Verdana" w:hAnsi="Verdana" w:cs="Arial"/>
          <w:sz w:val="24"/>
          <w:szCs w:val="24"/>
        </w:rPr>
        <w:t xml:space="preserve">that </w:t>
      </w:r>
      <w:r w:rsidR="00DA632A" w:rsidRPr="00BE0513">
        <w:rPr>
          <w:rFonts w:ascii="Verdana" w:hAnsi="Verdana" w:cs="Arial"/>
          <w:sz w:val="24"/>
          <w:szCs w:val="24"/>
        </w:rPr>
        <w:t xml:space="preserve">the </w:t>
      </w:r>
      <w:r w:rsidR="0082193A" w:rsidRPr="00BE0513">
        <w:rPr>
          <w:rFonts w:ascii="Verdana" w:hAnsi="Verdana"/>
          <w:sz w:val="24"/>
          <w:szCs w:val="24"/>
        </w:rPr>
        <w:t>adjusted EBITDA</w:t>
      </w:r>
      <w:r w:rsidR="00DA632A" w:rsidRPr="00BE0513">
        <w:rPr>
          <w:rFonts w:ascii="Verdana" w:hAnsi="Verdana" w:cs="Arial"/>
          <w:sz w:val="24"/>
          <w:szCs w:val="24"/>
        </w:rPr>
        <w:t xml:space="preserve"> numbers</w:t>
      </w:r>
      <w:r w:rsidR="00DA632A" w:rsidRPr="00BE09CB">
        <w:rPr>
          <w:rFonts w:ascii="Verdana" w:hAnsi="Verdana" w:cs="Arial"/>
          <w:sz w:val="24"/>
          <w:szCs w:val="24"/>
        </w:rPr>
        <w:t xml:space="preserve"> are b</w:t>
      </w:r>
      <w:r w:rsidR="003846E0" w:rsidRPr="00BE09CB">
        <w:rPr>
          <w:rFonts w:ascii="Verdana" w:hAnsi="Verdana" w:cs="Arial"/>
          <w:sz w:val="24"/>
          <w:szCs w:val="24"/>
        </w:rPr>
        <w:t>etter?  Or is management really this deluded?  Whatever the case, this disclosure simply confirms that management cares little about financial statement transparency, and puts a premium on reporting fiction.</w:t>
      </w:r>
    </w:p>
    <w:p w:rsidR="00EF0371" w:rsidRPr="00BE09CB" w:rsidRDefault="00EF0371" w:rsidP="009A3107">
      <w:pPr>
        <w:tabs>
          <w:tab w:val="left" w:pos="6600"/>
        </w:tabs>
        <w:rPr>
          <w:rFonts w:ascii="Verdana" w:hAnsi="Verdana" w:cs="Arial"/>
          <w:sz w:val="24"/>
          <w:szCs w:val="24"/>
        </w:rPr>
      </w:pPr>
    </w:p>
    <w:p w:rsidR="00DA632A" w:rsidRDefault="00DA632A" w:rsidP="009A3107">
      <w:pPr>
        <w:tabs>
          <w:tab w:val="left" w:pos="6600"/>
        </w:tabs>
        <w:rPr>
          <w:rFonts w:ascii="Verdana" w:hAnsi="Verdana"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414282" w:rsidTr="00414282">
        <w:tc>
          <w:tcPr>
            <w:tcW w:w="2394" w:type="dxa"/>
          </w:tcPr>
          <w:p w:rsidR="00414282" w:rsidRDefault="00414282" w:rsidP="009A3107">
            <w:pPr>
              <w:tabs>
                <w:tab w:val="left" w:pos="6600"/>
              </w:tabs>
              <w:rPr>
                <w:rFonts w:ascii="Verdana" w:hAnsi="Verdana" w:cs="Arial"/>
                <w:sz w:val="24"/>
                <w:szCs w:val="24"/>
              </w:rPr>
            </w:pPr>
            <w:r>
              <w:rPr>
                <w:rFonts w:ascii="Verdana" w:hAnsi="Verdana" w:cs="Arial"/>
                <w:sz w:val="24"/>
                <w:szCs w:val="24"/>
              </w:rPr>
              <w:t>Year ended</w:t>
            </w:r>
          </w:p>
        </w:tc>
        <w:tc>
          <w:tcPr>
            <w:tcW w:w="2394" w:type="dxa"/>
          </w:tcPr>
          <w:p w:rsidR="00414282" w:rsidRPr="00414282" w:rsidRDefault="004C0850" w:rsidP="00AF3482">
            <w:pPr>
              <w:tabs>
                <w:tab w:val="left" w:pos="6600"/>
              </w:tabs>
              <w:rPr>
                <w:rFonts w:ascii="Verdana" w:hAnsi="Verdana" w:cs="Arial"/>
                <w:sz w:val="24"/>
                <w:szCs w:val="24"/>
                <w:u w:val="single"/>
              </w:rPr>
            </w:pPr>
            <w:r>
              <w:rPr>
                <w:rFonts w:ascii="Verdana" w:hAnsi="Verdana" w:cs="Arial"/>
                <w:sz w:val="24"/>
                <w:szCs w:val="24"/>
                <w:u w:val="single"/>
              </w:rPr>
              <w:t>2-</w:t>
            </w:r>
            <w:r w:rsidR="00414282" w:rsidRPr="00414282">
              <w:rPr>
                <w:rFonts w:ascii="Verdana" w:hAnsi="Verdana" w:cs="Arial"/>
                <w:sz w:val="24"/>
                <w:szCs w:val="24"/>
                <w:u w:val="single"/>
              </w:rPr>
              <w:t>28</w:t>
            </w:r>
            <w:r>
              <w:rPr>
                <w:rFonts w:ascii="Verdana" w:hAnsi="Verdana" w:cs="Arial"/>
                <w:sz w:val="24"/>
                <w:szCs w:val="24"/>
                <w:u w:val="single"/>
              </w:rPr>
              <w:t>-</w:t>
            </w:r>
            <w:r w:rsidR="00414282" w:rsidRPr="00414282">
              <w:rPr>
                <w:rFonts w:ascii="Verdana" w:hAnsi="Verdana" w:cs="Arial"/>
                <w:sz w:val="24"/>
                <w:szCs w:val="24"/>
                <w:u w:val="single"/>
              </w:rPr>
              <w:t>2009</w:t>
            </w:r>
          </w:p>
        </w:tc>
        <w:tc>
          <w:tcPr>
            <w:tcW w:w="2394" w:type="dxa"/>
          </w:tcPr>
          <w:p w:rsidR="00414282" w:rsidRPr="00414282" w:rsidRDefault="004C0850" w:rsidP="00AF3482">
            <w:pPr>
              <w:tabs>
                <w:tab w:val="left" w:pos="6600"/>
              </w:tabs>
              <w:rPr>
                <w:rFonts w:ascii="Verdana" w:hAnsi="Verdana" w:cs="Arial"/>
                <w:sz w:val="24"/>
                <w:szCs w:val="24"/>
                <w:u w:val="single"/>
              </w:rPr>
            </w:pPr>
            <w:r>
              <w:rPr>
                <w:rFonts w:ascii="Verdana" w:hAnsi="Verdana" w:cs="Arial"/>
                <w:sz w:val="24"/>
                <w:szCs w:val="24"/>
                <w:u w:val="single"/>
              </w:rPr>
              <w:t>2-</w:t>
            </w:r>
            <w:r w:rsidR="00414282" w:rsidRPr="00414282">
              <w:rPr>
                <w:rFonts w:ascii="Verdana" w:hAnsi="Verdana" w:cs="Arial"/>
                <w:sz w:val="24"/>
                <w:szCs w:val="24"/>
                <w:u w:val="single"/>
              </w:rPr>
              <w:t>28</w:t>
            </w:r>
            <w:r>
              <w:rPr>
                <w:rFonts w:ascii="Verdana" w:hAnsi="Verdana" w:cs="Arial"/>
                <w:sz w:val="24"/>
                <w:szCs w:val="24"/>
                <w:u w:val="single"/>
              </w:rPr>
              <w:t>-</w:t>
            </w:r>
            <w:r w:rsidR="00414282" w:rsidRPr="00414282">
              <w:rPr>
                <w:rFonts w:ascii="Verdana" w:hAnsi="Verdana" w:cs="Arial"/>
                <w:sz w:val="24"/>
                <w:szCs w:val="24"/>
                <w:u w:val="single"/>
              </w:rPr>
              <w:t>2010</w:t>
            </w:r>
          </w:p>
        </w:tc>
        <w:tc>
          <w:tcPr>
            <w:tcW w:w="2394" w:type="dxa"/>
          </w:tcPr>
          <w:p w:rsidR="00414282" w:rsidRPr="00414282" w:rsidRDefault="00414282" w:rsidP="00AF3482">
            <w:pPr>
              <w:tabs>
                <w:tab w:val="left" w:pos="6600"/>
              </w:tabs>
              <w:rPr>
                <w:rFonts w:ascii="Verdana" w:hAnsi="Verdana" w:cs="Arial"/>
                <w:sz w:val="24"/>
                <w:szCs w:val="24"/>
                <w:u w:val="single"/>
              </w:rPr>
            </w:pPr>
            <w:r w:rsidRPr="00414282">
              <w:rPr>
                <w:rFonts w:ascii="Verdana" w:hAnsi="Verdana" w:cs="Arial"/>
                <w:sz w:val="24"/>
                <w:szCs w:val="24"/>
                <w:u w:val="single"/>
              </w:rPr>
              <w:t>2</w:t>
            </w:r>
            <w:r w:rsidR="004C0850">
              <w:rPr>
                <w:rFonts w:ascii="Verdana" w:hAnsi="Verdana" w:cs="Arial"/>
                <w:sz w:val="24"/>
                <w:szCs w:val="24"/>
                <w:u w:val="single"/>
              </w:rPr>
              <w:t>-2</w:t>
            </w:r>
            <w:r w:rsidRPr="00414282">
              <w:rPr>
                <w:rFonts w:ascii="Verdana" w:hAnsi="Verdana" w:cs="Arial"/>
                <w:sz w:val="24"/>
                <w:szCs w:val="24"/>
                <w:u w:val="single"/>
              </w:rPr>
              <w:t>8</w:t>
            </w:r>
            <w:r w:rsidR="004C0850">
              <w:rPr>
                <w:rFonts w:ascii="Verdana" w:hAnsi="Verdana" w:cs="Arial"/>
                <w:sz w:val="24"/>
                <w:szCs w:val="24"/>
                <w:u w:val="single"/>
              </w:rPr>
              <w:t>-</w:t>
            </w:r>
            <w:r w:rsidRPr="00414282">
              <w:rPr>
                <w:rFonts w:ascii="Verdana" w:hAnsi="Verdana" w:cs="Arial"/>
                <w:sz w:val="24"/>
                <w:szCs w:val="24"/>
                <w:u w:val="single"/>
              </w:rPr>
              <w:t>2011</w:t>
            </w:r>
          </w:p>
        </w:tc>
      </w:tr>
      <w:tr w:rsidR="00414282" w:rsidTr="00414282">
        <w:tc>
          <w:tcPr>
            <w:tcW w:w="2394" w:type="dxa"/>
          </w:tcPr>
          <w:p w:rsidR="00414282" w:rsidRDefault="00AD0ADD" w:rsidP="009A3107">
            <w:pPr>
              <w:tabs>
                <w:tab w:val="left" w:pos="6600"/>
              </w:tabs>
              <w:rPr>
                <w:rFonts w:ascii="Verdana" w:hAnsi="Verdana" w:cs="Arial"/>
                <w:sz w:val="24"/>
                <w:szCs w:val="24"/>
              </w:rPr>
            </w:pPr>
            <w:r>
              <w:rPr>
                <w:rFonts w:ascii="Verdana" w:hAnsi="Verdana" w:cs="Arial"/>
                <w:sz w:val="24"/>
                <w:szCs w:val="24"/>
              </w:rPr>
              <w:t>(in millions)</w:t>
            </w:r>
          </w:p>
        </w:tc>
        <w:tc>
          <w:tcPr>
            <w:tcW w:w="2394" w:type="dxa"/>
          </w:tcPr>
          <w:p w:rsidR="00414282" w:rsidRPr="00414282" w:rsidRDefault="00414282" w:rsidP="00AF3482">
            <w:pPr>
              <w:tabs>
                <w:tab w:val="left" w:pos="6600"/>
              </w:tabs>
              <w:rPr>
                <w:rFonts w:ascii="Courier New" w:hAnsi="Courier New" w:cs="Courier New"/>
                <w:sz w:val="24"/>
                <w:szCs w:val="24"/>
              </w:rPr>
            </w:pPr>
          </w:p>
        </w:tc>
        <w:tc>
          <w:tcPr>
            <w:tcW w:w="2394" w:type="dxa"/>
          </w:tcPr>
          <w:p w:rsidR="00414282" w:rsidRPr="00414282" w:rsidRDefault="00414282" w:rsidP="00AF3482">
            <w:pPr>
              <w:tabs>
                <w:tab w:val="left" w:pos="6600"/>
              </w:tabs>
              <w:rPr>
                <w:rFonts w:ascii="Courier New" w:hAnsi="Courier New" w:cs="Courier New"/>
                <w:sz w:val="24"/>
                <w:szCs w:val="24"/>
              </w:rPr>
            </w:pPr>
          </w:p>
        </w:tc>
        <w:tc>
          <w:tcPr>
            <w:tcW w:w="2394" w:type="dxa"/>
          </w:tcPr>
          <w:p w:rsidR="00414282" w:rsidRPr="00414282" w:rsidRDefault="00414282" w:rsidP="00AF3482">
            <w:pPr>
              <w:tabs>
                <w:tab w:val="left" w:pos="6600"/>
              </w:tabs>
              <w:rPr>
                <w:rFonts w:ascii="Courier New" w:hAnsi="Courier New" w:cs="Courier New"/>
                <w:sz w:val="24"/>
                <w:szCs w:val="24"/>
              </w:rPr>
            </w:pPr>
          </w:p>
        </w:tc>
      </w:tr>
      <w:tr w:rsidR="00414282" w:rsidTr="00414282">
        <w:tc>
          <w:tcPr>
            <w:tcW w:w="2394" w:type="dxa"/>
          </w:tcPr>
          <w:p w:rsidR="00414282" w:rsidRDefault="00414282" w:rsidP="009A3107">
            <w:pPr>
              <w:tabs>
                <w:tab w:val="left" w:pos="6600"/>
              </w:tabs>
              <w:rPr>
                <w:rFonts w:ascii="Verdana" w:hAnsi="Verdana" w:cs="Arial"/>
                <w:sz w:val="24"/>
                <w:szCs w:val="24"/>
              </w:rPr>
            </w:pPr>
            <w:r>
              <w:rPr>
                <w:rFonts w:ascii="Verdana" w:hAnsi="Verdana" w:cs="Arial"/>
                <w:sz w:val="24"/>
                <w:szCs w:val="24"/>
              </w:rPr>
              <w:t>GAAP net loss</w:t>
            </w:r>
          </w:p>
        </w:tc>
        <w:tc>
          <w:tcPr>
            <w:tcW w:w="2394" w:type="dxa"/>
          </w:tcPr>
          <w:p w:rsidR="00414282" w:rsidRPr="00414282" w:rsidRDefault="00AD0ADD" w:rsidP="00AF3482">
            <w:pPr>
              <w:tabs>
                <w:tab w:val="left" w:pos="6600"/>
              </w:tabs>
              <w:rPr>
                <w:rFonts w:ascii="Courier New" w:hAnsi="Courier New" w:cs="Courier New"/>
                <w:sz w:val="24"/>
                <w:szCs w:val="24"/>
              </w:rPr>
            </w:pPr>
            <w:r>
              <w:rPr>
                <w:rFonts w:ascii="Courier New" w:hAnsi="Courier New" w:cs="Courier New"/>
                <w:sz w:val="24"/>
                <w:szCs w:val="24"/>
              </w:rPr>
              <w:t xml:space="preserve">  </w:t>
            </w:r>
            <w:r w:rsidR="00AF3482">
              <w:rPr>
                <w:rFonts w:ascii="Courier New" w:hAnsi="Courier New" w:cs="Courier New"/>
                <w:sz w:val="24"/>
                <w:szCs w:val="24"/>
              </w:rPr>
              <w:t xml:space="preserve"> </w:t>
            </w:r>
            <w:r>
              <w:rPr>
                <w:rFonts w:ascii="Courier New" w:hAnsi="Courier New" w:cs="Courier New"/>
                <w:sz w:val="24"/>
                <w:szCs w:val="24"/>
              </w:rPr>
              <w:t xml:space="preserve"> </w:t>
            </w:r>
            <w:r w:rsidR="00414282">
              <w:rPr>
                <w:rFonts w:ascii="Courier New" w:hAnsi="Courier New" w:cs="Courier New"/>
                <w:sz w:val="24"/>
                <w:szCs w:val="24"/>
              </w:rPr>
              <w:t>(2,915.420)</w:t>
            </w:r>
          </w:p>
        </w:tc>
        <w:tc>
          <w:tcPr>
            <w:tcW w:w="2394" w:type="dxa"/>
          </w:tcPr>
          <w:p w:rsidR="00414282" w:rsidRPr="00414282" w:rsidRDefault="00AD0ADD" w:rsidP="00AF3482">
            <w:pPr>
              <w:tabs>
                <w:tab w:val="left" w:pos="6600"/>
              </w:tabs>
              <w:rPr>
                <w:rFonts w:ascii="Courier New" w:hAnsi="Courier New" w:cs="Courier New"/>
                <w:sz w:val="24"/>
                <w:szCs w:val="24"/>
              </w:rPr>
            </w:pPr>
            <w:r>
              <w:rPr>
                <w:rFonts w:ascii="Courier New" w:hAnsi="Courier New" w:cs="Courier New"/>
                <w:sz w:val="24"/>
                <w:szCs w:val="24"/>
              </w:rPr>
              <w:t xml:space="preserve">      </w:t>
            </w:r>
            <w:r w:rsidR="00414282">
              <w:rPr>
                <w:rFonts w:ascii="Courier New" w:hAnsi="Courier New" w:cs="Courier New"/>
                <w:sz w:val="24"/>
                <w:szCs w:val="24"/>
              </w:rPr>
              <w:t>(506.676)</w:t>
            </w:r>
          </w:p>
        </w:tc>
        <w:tc>
          <w:tcPr>
            <w:tcW w:w="2394" w:type="dxa"/>
          </w:tcPr>
          <w:p w:rsidR="00414282" w:rsidRPr="00414282" w:rsidRDefault="00AD0ADD" w:rsidP="00AF3482">
            <w:pPr>
              <w:tabs>
                <w:tab w:val="left" w:pos="6600"/>
              </w:tabs>
              <w:rPr>
                <w:rFonts w:ascii="Courier New" w:hAnsi="Courier New" w:cs="Courier New"/>
                <w:sz w:val="24"/>
                <w:szCs w:val="24"/>
              </w:rPr>
            </w:pPr>
            <w:r>
              <w:rPr>
                <w:rFonts w:ascii="Courier New" w:hAnsi="Courier New" w:cs="Courier New"/>
                <w:sz w:val="24"/>
                <w:szCs w:val="24"/>
              </w:rPr>
              <w:t xml:space="preserve">      </w:t>
            </w:r>
            <w:r w:rsidR="00414282">
              <w:rPr>
                <w:rFonts w:ascii="Courier New" w:hAnsi="Courier New" w:cs="Courier New"/>
                <w:sz w:val="24"/>
                <w:szCs w:val="24"/>
              </w:rPr>
              <w:t>(555.424)</w:t>
            </w:r>
          </w:p>
        </w:tc>
      </w:tr>
      <w:tr w:rsidR="00414282" w:rsidTr="00414282">
        <w:tc>
          <w:tcPr>
            <w:tcW w:w="2394" w:type="dxa"/>
          </w:tcPr>
          <w:p w:rsidR="00414282" w:rsidRDefault="00414282" w:rsidP="009A3107">
            <w:pPr>
              <w:tabs>
                <w:tab w:val="left" w:pos="6600"/>
              </w:tabs>
              <w:rPr>
                <w:rFonts w:ascii="Verdana" w:hAnsi="Verdana" w:cs="Arial"/>
                <w:sz w:val="24"/>
                <w:szCs w:val="24"/>
              </w:rPr>
            </w:pPr>
            <w:r>
              <w:rPr>
                <w:rFonts w:ascii="Verdana" w:hAnsi="Verdana" w:cs="Arial"/>
                <w:sz w:val="24"/>
                <w:szCs w:val="24"/>
              </w:rPr>
              <w:t>Adjusted EBITDA</w:t>
            </w:r>
          </w:p>
        </w:tc>
        <w:tc>
          <w:tcPr>
            <w:tcW w:w="2394" w:type="dxa"/>
          </w:tcPr>
          <w:p w:rsidR="00414282" w:rsidRPr="00414282" w:rsidRDefault="00AD0ADD" w:rsidP="00AF3482">
            <w:pPr>
              <w:tabs>
                <w:tab w:val="left" w:pos="6600"/>
              </w:tabs>
              <w:rPr>
                <w:rFonts w:ascii="Courier New" w:hAnsi="Courier New" w:cs="Courier New"/>
                <w:sz w:val="24"/>
                <w:szCs w:val="24"/>
              </w:rPr>
            </w:pPr>
            <w:r>
              <w:rPr>
                <w:rFonts w:ascii="Courier New" w:hAnsi="Courier New" w:cs="Courier New"/>
                <w:sz w:val="24"/>
                <w:szCs w:val="24"/>
              </w:rPr>
              <w:t xml:space="preserve">       </w:t>
            </w:r>
            <w:r w:rsidR="00414282">
              <w:rPr>
                <w:rFonts w:ascii="Courier New" w:hAnsi="Courier New" w:cs="Courier New"/>
                <w:sz w:val="24"/>
                <w:szCs w:val="24"/>
              </w:rPr>
              <w:t>991.147</w:t>
            </w:r>
          </w:p>
        </w:tc>
        <w:tc>
          <w:tcPr>
            <w:tcW w:w="2394" w:type="dxa"/>
          </w:tcPr>
          <w:p w:rsidR="00414282" w:rsidRPr="00414282" w:rsidRDefault="00AD0ADD" w:rsidP="00AF3482">
            <w:pPr>
              <w:tabs>
                <w:tab w:val="left" w:pos="6600"/>
              </w:tabs>
              <w:rPr>
                <w:rFonts w:ascii="Courier New" w:hAnsi="Courier New" w:cs="Courier New"/>
                <w:sz w:val="24"/>
                <w:szCs w:val="24"/>
              </w:rPr>
            </w:pPr>
            <w:r>
              <w:rPr>
                <w:rFonts w:ascii="Courier New" w:hAnsi="Courier New" w:cs="Courier New"/>
                <w:sz w:val="24"/>
                <w:szCs w:val="24"/>
              </w:rPr>
              <w:t xml:space="preserve">       </w:t>
            </w:r>
            <w:r w:rsidR="00414282">
              <w:rPr>
                <w:rFonts w:ascii="Courier New" w:hAnsi="Courier New" w:cs="Courier New"/>
                <w:sz w:val="24"/>
                <w:szCs w:val="24"/>
              </w:rPr>
              <w:t>924.974</w:t>
            </w:r>
          </w:p>
        </w:tc>
        <w:tc>
          <w:tcPr>
            <w:tcW w:w="2394" w:type="dxa"/>
          </w:tcPr>
          <w:p w:rsidR="00414282" w:rsidRPr="00414282" w:rsidRDefault="00AD0ADD" w:rsidP="00AF3482">
            <w:pPr>
              <w:tabs>
                <w:tab w:val="left" w:pos="6600"/>
              </w:tabs>
              <w:rPr>
                <w:rFonts w:ascii="Courier New" w:hAnsi="Courier New" w:cs="Courier New"/>
                <w:sz w:val="24"/>
                <w:szCs w:val="24"/>
              </w:rPr>
            </w:pPr>
            <w:r>
              <w:rPr>
                <w:rFonts w:ascii="Courier New" w:hAnsi="Courier New" w:cs="Courier New"/>
                <w:sz w:val="24"/>
                <w:szCs w:val="24"/>
              </w:rPr>
              <w:t xml:space="preserve">       </w:t>
            </w:r>
            <w:r w:rsidR="00414282">
              <w:rPr>
                <w:rFonts w:ascii="Courier New" w:hAnsi="Courier New" w:cs="Courier New"/>
                <w:sz w:val="24"/>
                <w:szCs w:val="24"/>
              </w:rPr>
              <w:t>858.962</w:t>
            </w:r>
          </w:p>
        </w:tc>
      </w:tr>
      <w:tr w:rsidR="00414282" w:rsidTr="00414282">
        <w:tc>
          <w:tcPr>
            <w:tcW w:w="2394" w:type="dxa"/>
          </w:tcPr>
          <w:p w:rsidR="00414282" w:rsidRDefault="00414282" w:rsidP="009A3107">
            <w:pPr>
              <w:tabs>
                <w:tab w:val="left" w:pos="6600"/>
              </w:tabs>
              <w:rPr>
                <w:rFonts w:ascii="Verdana" w:hAnsi="Verdana" w:cs="Arial"/>
                <w:sz w:val="24"/>
                <w:szCs w:val="24"/>
              </w:rPr>
            </w:pPr>
          </w:p>
        </w:tc>
        <w:tc>
          <w:tcPr>
            <w:tcW w:w="2394" w:type="dxa"/>
          </w:tcPr>
          <w:p w:rsidR="00414282" w:rsidRPr="00414282" w:rsidRDefault="00414282" w:rsidP="00414282">
            <w:pPr>
              <w:tabs>
                <w:tab w:val="left" w:pos="6600"/>
              </w:tabs>
              <w:jc w:val="right"/>
              <w:rPr>
                <w:rFonts w:ascii="Courier New" w:hAnsi="Courier New" w:cs="Courier New"/>
                <w:sz w:val="24"/>
                <w:szCs w:val="24"/>
              </w:rPr>
            </w:pPr>
          </w:p>
        </w:tc>
        <w:tc>
          <w:tcPr>
            <w:tcW w:w="2394" w:type="dxa"/>
          </w:tcPr>
          <w:p w:rsidR="00414282" w:rsidRPr="00414282" w:rsidRDefault="00414282" w:rsidP="00414282">
            <w:pPr>
              <w:tabs>
                <w:tab w:val="left" w:pos="6600"/>
              </w:tabs>
              <w:jc w:val="right"/>
              <w:rPr>
                <w:rFonts w:ascii="Courier New" w:hAnsi="Courier New" w:cs="Courier New"/>
                <w:sz w:val="24"/>
                <w:szCs w:val="24"/>
              </w:rPr>
            </w:pPr>
          </w:p>
        </w:tc>
        <w:tc>
          <w:tcPr>
            <w:tcW w:w="2394" w:type="dxa"/>
          </w:tcPr>
          <w:p w:rsidR="00414282" w:rsidRPr="00414282" w:rsidRDefault="00414282" w:rsidP="00414282">
            <w:pPr>
              <w:tabs>
                <w:tab w:val="left" w:pos="6600"/>
              </w:tabs>
              <w:jc w:val="right"/>
              <w:rPr>
                <w:rFonts w:ascii="Courier New" w:hAnsi="Courier New" w:cs="Courier New"/>
                <w:sz w:val="24"/>
                <w:szCs w:val="24"/>
              </w:rPr>
            </w:pPr>
          </w:p>
        </w:tc>
      </w:tr>
    </w:tbl>
    <w:p w:rsidR="00414282" w:rsidRPr="00BE09CB" w:rsidRDefault="00414282" w:rsidP="009A3107">
      <w:pPr>
        <w:tabs>
          <w:tab w:val="left" w:pos="6600"/>
        </w:tabs>
        <w:rPr>
          <w:rFonts w:ascii="Verdana" w:hAnsi="Verdana" w:cs="Arial"/>
          <w:sz w:val="24"/>
          <w:szCs w:val="24"/>
        </w:rPr>
      </w:pPr>
    </w:p>
    <w:p w:rsidR="003846E0" w:rsidRPr="00BE09CB" w:rsidRDefault="003846E0" w:rsidP="003846E0">
      <w:pPr>
        <w:tabs>
          <w:tab w:val="left" w:pos="6600"/>
        </w:tabs>
        <w:rPr>
          <w:rFonts w:ascii="Verdana" w:hAnsi="Verdana" w:cs="Arial"/>
          <w:sz w:val="24"/>
          <w:szCs w:val="24"/>
        </w:rPr>
      </w:pPr>
    </w:p>
    <w:p w:rsidR="003846E0" w:rsidRDefault="003846E0" w:rsidP="003846E0">
      <w:pPr>
        <w:tabs>
          <w:tab w:val="left" w:pos="6600"/>
        </w:tabs>
        <w:rPr>
          <w:rFonts w:ascii="Verdana" w:hAnsi="Verdana" w:cs="Arial"/>
          <w:sz w:val="24"/>
          <w:szCs w:val="24"/>
        </w:rPr>
      </w:pPr>
      <w:r w:rsidRPr="00BE09CB">
        <w:rPr>
          <w:rFonts w:ascii="Verdana" w:hAnsi="Verdana" w:cs="Arial"/>
          <w:sz w:val="24"/>
          <w:szCs w:val="24"/>
        </w:rPr>
        <w:t xml:space="preserve">What’s the real bottom line?  </w:t>
      </w:r>
      <w:r w:rsidR="00942D71" w:rsidRPr="00BE09CB">
        <w:rPr>
          <w:rFonts w:ascii="Verdana" w:hAnsi="Verdana" w:cs="Arial"/>
          <w:sz w:val="24"/>
          <w:szCs w:val="24"/>
        </w:rPr>
        <w:t xml:space="preserve">This is just another great example of how a firm’s compliance with GAAP, and an auditor’s following of GAAS do little to insure financial reporting transparency.  </w:t>
      </w:r>
      <w:r w:rsidRPr="00BE09CB">
        <w:rPr>
          <w:rFonts w:ascii="Verdana" w:hAnsi="Verdana" w:cs="Arial"/>
          <w:sz w:val="24"/>
          <w:szCs w:val="24"/>
        </w:rPr>
        <w:t>Before you look at Rite Aid’s financial statements, take a heavy dose of their pain meds…you’ll need them.</w:t>
      </w:r>
    </w:p>
    <w:p w:rsidR="00BE09CB" w:rsidRDefault="00BE09CB" w:rsidP="00BE09CB">
      <w:pPr>
        <w:rPr>
          <w:rFonts w:ascii="Verdana" w:hAnsi="Verdana"/>
          <w:i/>
        </w:rPr>
      </w:pPr>
    </w:p>
    <w:p w:rsidR="00BE09CB" w:rsidRDefault="00BE09CB" w:rsidP="00BE09CB">
      <w:pPr>
        <w:rPr>
          <w:rFonts w:ascii="Verdana" w:hAnsi="Verdana"/>
          <w:szCs w:val="24"/>
        </w:rPr>
      </w:pPr>
      <w:r w:rsidRPr="00285D9E">
        <w:rPr>
          <w:rFonts w:ascii="Verdana" w:hAnsi="Verdana"/>
          <w:i/>
        </w:rPr>
        <w:t xml:space="preserve">Additional insights regarding </w:t>
      </w:r>
      <w:r w:rsidR="000D388F">
        <w:rPr>
          <w:rFonts w:ascii="Verdana" w:hAnsi="Verdana"/>
          <w:i/>
        </w:rPr>
        <w:t xml:space="preserve">Rite Aid’s </w:t>
      </w:r>
      <w:r>
        <w:rPr>
          <w:rFonts w:ascii="Verdana" w:hAnsi="Verdana"/>
          <w:i/>
        </w:rPr>
        <w:t xml:space="preserve">reporting </w:t>
      </w:r>
      <w:r w:rsidRPr="00285D9E">
        <w:rPr>
          <w:rFonts w:ascii="Verdana" w:hAnsi="Verdana"/>
          <w:i/>
        </w:rPr>
        <w:t>can be found at:</w:t>
      </w:r>
      <w:r w:rsidRPr="00285D9E">
        <w:rPr>
          <w:rFonts w:ascii="Verdana" w:hAnsi="Verdana"/>
          <w:i/>
        </w:rPr>
        <w:br/>
      </w:r>
    </w:p>
    <w:p w:rsidR="006B133E" w:rsidRDefault="006B133E" w:rsidP="003846E0">
      <w:pPr>
        <w:tabs>
          <w:tab w:val="left" w:pos="6600"/>
        </w:tabs>
        <w:rPr>
          <w:rFonts w:ascii="Verdana" w:hAnsi="Verdana" w:cs="Arial"/>
          <w:sz w:val="24"/>
          <w:szCs w:val="24"/>
        </w:rPr>
      </w:pPr>
      <w:r>
        <w:rPr>
          <w:rFonts w:ascii="Verdana" w:hAnsi="Verdana" w:cs="Arial"/>
          <w:sz w:val="24"/>
          <w:szCs w:val="24"/>
        </w:rPr>
        <w:lastRenderedPageBreak/>
        <w:t xml:space="preserve">8 Companies Facing Bankruptcy in 2011 - </w:t>
      </w:r>
      <w:hyperlink r:id="rId11" w:history="1">
        <w:r w:rsidRPr="00163CEC">
          <w:rPr>
            <w:rStyle w:val="Hyperlink"/>
            <w:rFonts w:ascii="Verdana" w:hAnsi="Verdana" w:cs="Arial"/>
            <w:sz w:val="24"/>
            <w:szCs w:val="24"/>
          </w:rPr>
          <w:t>http://smarterspend.com/2011/02/8-companies-facing-bankruptcy-in-2011/</w:t>
        </w:r>
      </w:hyperlink>
    </w:p>
    <w:p w:rsidR="006B133E" w:rsidRDefault="006B133E" w:rsidP="003846E0">
      <w:pPr>
        <w:tabs>
          <w:tab w:val="left" w:pos="6600"/>
        </w:tabs>
        <w:rPr>
          <w:rFonts w:ascii="Verdana" w:hAnsi="Verdana" w:cs="Arial"/>
          <w:sz w:val="24"/>
          <w:szCs w:val="24"/>
        </w:rPr>
      </w:pPr>
    </w:p>
    <w:p w:rsidR="00BE09CB" w:rsidRDefault="006B133E" w:rsidP="003846E0">
      <w:pPr>
        <w:tabs>
          <w:tab w:val="left" w:pos="6600"/>
        </w:tabs>
        <w:rPr>
          <w:rFonts w:ascii="Verdana" w:hAnsi="Verdana" w:cs="Arial"/>
          <w:sz w:val="24"/>
          <w:szCs w:val="24"/>
        </w:rPr>
      </w:pPr>
      <w:r>
        <w:rPr>
          <w:rFonts w:ascii="Verdana" w:hAnsi="Verdana" w:cs="Arial"/>
          <w:sz w:val="24"/>
          <w:szCs w:val="24"/>
        </w:rPr>
        <w:t xml:space="preserve">Businesses on the Brink: Change or Fail? - </w:t>
      </w:r>
      <w:hyperlink r:id="rId12" w:history="1">
        <w:r w:rsidRPr="00163CEC">
          <w:rPr>
            <w:rStyle w:val="Hyperlink"/>
            <w:rFonts w:ascii="Verdana" w:hAnsi="Verdana" w:cs="Arial"/>
            <w:sz w:val="24"/>
            <w:szCs w:val="24"/>
          </w:rPr>
          <w:t>http://finance.yahoo.com/career-work/article/109251/businesses-on-the-brink-change-or-fail??mod=career-leadership</w:t>
        </w:r>
      </w:hyperlink>
    </w:p>
    <w:p w:rsidR="006B133E" w:rsidRDefault="006B133E" w:rsidP="003846E0">
      <w:pPr>
        <w:tabs>
          <w:tab w:val="left" w:pos="6600"/>
        </w:tabs>
        <w:rPr>
          <w:rFonts w:ascii="Verdana" w:hAnsi="Verdana" w:cs="Arial"/>
          <w:sz w:val="24"/>
          <w:szCs w:val="24"/>
        </w:rPr>
      </w:pPr>
    </w:p>
    <w:p w:rsidR="006B133E" w:rsidRDefault="006B133E" w:rsidP="003846E0">
      <w:pPr>
        <w:tabs>
          <w:tab w:val="left" w:pos="6600"/>
        </w:tabs>
        <w:rPr>
          <w:rFonts w:ascii="Verdana" w:hAnsi="Verdana" w:cs="Arial"/>
          <w:sz w:val="24"/>
          <w:szCs w:val="24"/>
        </w:rPr>
      </w:pPr>
      <w:r>
        <w:rPr>
          <w:rFonts w:ascii="Verdana" w:hAnsi="Verdana" w:cs="Arial"/>
          <w:sz w:val="24"/>
          <w:szCs w:val="24"/>
        </w:rPr>
        <w:t xml:space="preserve">The Right Price for Rite Aid - </w:t>
      </w:r>
      <w:hyperlink r:id="rId13" w:history="1">
        <w:r w:rsidRPr="00163CEC">
          <w:rPr>
            <w:rStyle w:val="Hyperlink"/>
            <w:rFonts w:ascii="Verdana" w:hAnsi="Verdana" w:cs="Arial"/>
            <w:sz w:val="24"/>
            <w:szCs w:val="24"/>
          </w:rPr>
          <w:t>http://seekingalpha.com/article/59535-the-right-price-for-rite-aid</w:t>
        </w:r>
      </w:hyperlink>
    </w:p>
    <w:p w:rsidR="006B133E" w:rsidRDefault="006B133E" w:rsidP="003846E0">
      <w:pPr>
        <w:tabs>
          <w:tab w:val="left" w:pos="6600"/>
        </w:tabs>
        <w:rPr>
          <w:rFonts w:ascii="Verdana" w:hAnsi="Verdana" w:cs="Arial"/>
          <w:sz w:val="24"/>
          <w:szCs w:val="24"/>
        </w:rPr>
      </w:pPr>
    </w:p>
    <w:p w:rsidR="006B133E" w:rsidRDefault="006B133E" w:rsidP="003846E0">
      <w:pPr>
        <w:tabs>
          <w:tab w:val="left" w:pos="6600"/>
        </w:tabs>
        <w:rPr>
          <w:rFonts w:ascii="Verdana" w:hAnsi="Verdana" w:cs="Arial"/>
          <w:sz w:val="24"/>
          <w:szCs w:val="24"/>
        </w:rPr>
      </w:pPr>
    </w:p>
    <w:p w:rsidR="00BE09CB" w:rsidRPr="00732DC3" w:rsidRDefault="00BE09CB" w:rsidP="00BE09CB">
      <w:pPr>
        <w:pBdr>
          <w:bottom w:val="thinThickThinMediumGap" w:sz="18" w:space="0" w:color="auto"/>
        </w:pBdr>
        <w:rPr>
          <w:rFonts w:ascii="Verdana" w:hAnsi="Verdana"/>
        </w:rPr>
      </w:pPr>
    </w:p>
    <w:p w:rsidR="00BE09CB" w:rsidRDefault="00BE09CB" w:rsidP="00BE09CB">
      <w:pPr>
        <w:pStyle w:val="BodyText"/>
        <w:spacing w:line="240" w:lineRule="auto"/>
        <w:rPr>
          <w:i/>
        </w:rPr>
      </w:pPr>
    </w:p>
    <w:p w:rsidR="00BE09CB" w:rsidRPr="0052711E" w:rsidRDefault="00BE09CB" w:rsidP="00BE09CB">
      <w:pPr>
        <w:pStyle w:val="BodyText"/>
        <w:spacing w:line="240" w:lineRule="auto"/>
        <w:rPr>
          <w:i/>
        </w:rPr>
      </w:pPr>
      <w:r w:rsidRPr="0052711E">
        <w:rPr>
          <w:i/>
        </w:rPr>
        <w:t>This essay reflects the opinion of the author</w:t>
      </w:r>
      <w:r>
        <w:rPr>
          <w:i/>
        </w:rPr>
        <w:t>s</w:t>
      </w:r>
      <w:r w:rsidRPr="0052711E">
        <w:rPr>
          <w:i/>
        </w:rPr>
        <w:t xml:space="preserve"> and not necessarily the opinion</w:t>
      </w:r>
      <w:r>
        <w:rPr>
          <w:i/>
        </w:rPr>
        <w:t>s</w:t>
      </w:r>
      <w:r w:rsidRPr="0052711E">
        <w:rPr>
          <w:i/>
        </w:rPr>
        <w:t xml:space="preserve"> of The </w:t>
      </w:r>
      <w:smartTag w:uri="urn:schemas-microsoft-com:office:smarttags" w:element="PlaceName">
        <w:r w:rsidRPr="0052711E">
          <w:rPr>
            <w:i/>
          </w:rPr>
          <w:t>Pennsylvania</w:t>
        </w:r>
      </w:smartTag>
      <w:r w:rsidRPr="0052711E">
        <w:rPr>
          <w:i/>
        </w:rPr>
        <w:t xml:space="preserve"> </w:t>
      </w:r>
      <w:smartTag w:uri="urn:schemas-microsoft-com:office:smarttags" w:element="PlaceType">
        <w:r w:rsidRPr="0052711E">
          <w:rPr>
            <w:i/>
          </w:rPr>
          <w:t>State</w:t>
        </w:r>
      </w:smartTag>
      <w:r w:rsidRPr="0052711E">
        <w:rPr>
          <w:i/>
        </w:rPr>
        <w:t xml:space="preserve"> University</w:t>
      </w:r>
      <w:r>
        <w:rPr>
          <w:i/>
        </w:rPr>
        <w:t>, The American College, or Villanova University.</w:t>
      </w:r>
    </w:p>
    <w:p w:rsidR="00BE09CB" w:rsidRPr="00732DC3" w:rsidRDefault="00BE09CB" w:rsidP="00BE09CB">
      <w:pPr>
        <w:pBdr>
          <w:bottom w:val="thinThickThinMediumGap" w:sz="18" w:space="0" w:color="auto"/>
        </w:pBdr>
        <w:rPr>
          <w:rFonts w:ascii="Verdana" w:hAnsi="Verdana"/>
        </w:rPr>
      </w:pPr>
    </w:p>
    <w:p w:rsidR="00BE09CB" w:rsidRPr="00BE09CB" w:rsidRDefault="00BE09CB" w:rsidP="003846E0">
      <w:pPr>
        <w:tabs>
          <w:tab w:val="left" w:pos="6600"/>
        </w:tabs>
        <w:rPr>
          <w:rFonts w:ascii="Verdana" w:hAnsi="Verdana" w:cs="Arial"/>
          <w:sz w:val="24"/>
          <w:szCs w:val="24"/>
        </w:rPr>
      </w:pPr>
    </w:p>
    <w:sectPr w:rsidR="00BE09CB" w:rsidRPr="00BE09CB"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F0371"/>
    <w:rsid w:val="000374C2"/>
    <w:rsid w:val="00041BAF"/>
    <w:rsid w:val="0005599F"/>
    <w:rsid w:val="00057355"/>
    <w:rsid w:val="00077E01"/>
    <w:rsid w:val="00082541"/>
    <w:rsid w:val="00091631"/>
    <w:rsid w:val="000970F8"/>
    <w:rsid w:val="000D1B33"/>
    <w:rsid w:val="000D388F"/>
    <w:rsid w:val="000D7812"/>
    <w:rsid w:val="000E3959"/>
    <w:rsid w:val="000F42AB"/>
    <w:rsid w:val="0011112F"/>
    <w:rsid w:val="0011781E"/>
    <w:rsid w:val="00137180"/>
    <w:rsid w:val="001A5336"/>
    <w:rsid w:val="00213F40"/>
    <w:rsid w:val="00352147"/>
    <w:rsid w:val="00355B4C"/>
    <w:rsid w:val="003846E0"/>
    <w:rsid w:val="00414282"/>
    <w:rsid w:val="00421C27"/>
    <w:rsid w:val="00471A13"/>
    <w:rsid w:val="004C0850"/>
    <w:rsid w:val="005460BA"/>
    <w:rsid w:val="0056650E"/>
    <w:rsid w:val="00570CE0"/>
    <w:rsid w:val="005C01E9"/>
    <w:rsid w:val="00626CA8"/>
    <w:rsid w:val="0064266A"/>
    <w:rsid w:val="00644274"/>
    <w:rsid w:val="00693324"/>
    <w:rsid w:val="006B133E"/>
    <w:rsid w:val="006B668F"/>
    <w:rsid w:val="006D38FF"/>
    <w:rsid w:val="00733B7A"/>
    <w:rsid w:val="00777605"/>
    <w:rsid w:val="007E2F8F"/>
    <w:rsid w:val="007F51D2"/>
    <w:rsid w:val="00802C4A"/>
    <w:rsid w:val="0082193A"/>
    <w:rsid w:val="00847E0B"/>
    <w:rsid w:val="008D1B9B"/>
    <w:rsid w:val="00916856"/>
    <w:rsid w:val="009264F3"/>
    <w:rsid w:val="00942D71"/>
    <w:rsid w:val="009A3107"/>
    <w:rsid w:val="00A055B1"/>
    <w:rsid w:val="00A42090"/>
    <w:rsid w:val="00A43DAF"/>
    <w:rsid w:val="00A71183"/>
    <w:rsid w:val="00AD0ADD"/>
    <w:rsid w:val="00AE5A3A"/>
    <w:rsid w:val="00AF3482"/>
    <w:rsid w:val="00BE0513"/>
    <w:rsid w:val="00BE09CB"/>
    <w:rsid w:val="00BE4B17"/>
    <w:rsid w:val="00CD65D9"/>
    <w:rsid w:val="00CF476D"/>
    <w:rsid w:val="00D071F7"/>
    <w:rsid w:val="00D56988"/>
    <w:rsid w:val="00DA632A"/>
    <w:rsid w:val="00E2480D"/>
    <w:rsid w:val="00E82016"/>
    <w:rsid w:val="00EF0371"/>
    <w:rsid w:val="00EF7928"/>
    <w:rsid w:val="00F16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1F7"/>
    <w:rPr>
      <w:color w:val="0000FF" w:themeColor="hyperlink"/>
      <w:u w:val="single"/>
    </w:rPr>
  </w:style>
  <w:style w:type="paragraph" w:styleId="BalloonText">
    <w:name w:val="Balloon Text"/>
    <w:basedOn w:val="Normal"/>
    <w:link w:val="BalloonTextChar"/>
    <w:uiPriority w:val="99"/>
    <w:semiHidden/>
    <w:unhideWhenUsed/>
    <w:rsid w:val="00F165A1"/>
    <w:rPr>
      <w:rFonts w:ascii="Tahoma" w:hAnsi="Tahoma" w:cs="Tahoma"/>
      <w:sz w:val="16"/>
      <w:szCs w:val="16"/>
    </w:rPr>
  </w:style>
  <w:style w:type="character" w:customStyle="1" w:styleId="BalloonTextChar">
    <w:name w:val="Balloon Text Char"/>
    <w:basedOn w:val="DefaultParagraphFont"/>
    <w:link w:val="BalloonText"/>
    <w:uiPriority w:val="99"/>
    <w:semiHidden/>
    <w:rsid w:val="00F165A1"/>
    <w:rPr>
      <w:rFonts w:ascii="Tahoma" w:hAnsi="Tahoma" w:cs="Tahoma"/>
      <w:sz w:val="16"/>
      <w:szCs w:val="16"/>
    </w:rPr>
  </w:style>
  <w:style w:type="paragraph" w:styleId="BodyText">
    <w:name w:val="Body Text"/>
    <w:basedOn w:val="Normal"/>
    <w:link w:val="BodyTextChar"/>
    <w:rsid w:val="00BE09CB"/>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E09CB"/>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CF476D"/>
    <w:rPr>
      <w:color w:val="800080" w:themeColor="followedHyperlink"/>
      <w:u w:val="single"/>
    </w:rPr>
  </w:style>
  <w:style w:type="character" w:styleId="CommentReference">
    <w:name w:val="annotation reference"/>
    <w:basedOn w:val="DefaultParagraphFont"/>
    <w:uiPriority w:val="99"/>
    <w:semiHidden/>
    <w:unhideWhenUsed/>
    <w:rsid w:val="00CF476D"/>
    <w:rPr>
      <w:sz w:val="16"/>
      <w:szCs w:val="16"/>
    </w:rPr>
  </w:style>
  <w:style w:type="paragraph" w:styleId="CommentText">
    <w:name w:val="annotation text"/>
    <w:basedOn w:val="Normal"/>
    <w:link w:val="CommentTextChar"/>
    <w:uiPriority w:val="99"/>
    <w:semiHidden/>
    <w:unhideWhenUsed/>
    <w:rsid w:val="00CF476D"/>
    <w:rPr>
      <w:sz w:val="20"/>
      <w:szCs w:val="20"/>
    </w:rPr>
  </w:style>
  <w:style w:type="character" w:customStyle="1" w:styleId="CommentTextChar">
    <w:name w:val="Comment Text Char"/>
    <w:basedOn w:val="DefaultParagraphFont"/>
    <w:link w:val="CommentText"/>
    <w:uiPriority w:val="99"/>
    <w:semiHidden/>
    <w:rsid w:val="00CF476D"/>
    <w:rPr>
      <w:sz w:val="20"/>
      <w:szCs w:val="20"/>
    </w:rPr>
  </w:style>
  <w:style w:type="paragraph" w:styleId="CommentSubject">
    <w:name w:val="annotation subject"/>
    <w:basedOn w:val="CommentText"/>
    <w:next w:val="CommentText"/>
    <w:link w:val="CommentSubjectChar"/>
    <w:uiPriority w:val="99"/>
    <w:semiHidden/>
    <w:unhideWhenUsed/>
    <w:rsid w:val="00CF476D"/>
    <w:rPr>
      <w:b/>
      <w:bCs/>
    </w:rPr>
  </w:style>
  <w:style w:type="character" w:customStyle="1" w:styleId="CommentSubjectChar">
    <w:name w:val="Comment Subject Char"/>
    <w:basedOn w:val="CommentTextChar"/>
    <w:link w:val="CommentSubject"/>
    <w:uiPriority w:val="99"/>
    <w:semiHidden/>
    <w:rsid w:val="00CF476D"/>
    <w:rPr>
      <w:b/>
      <w:bCs/>
    </w:rPr>
  </w:style>
  <w:style w:type="table" w:styleId="TableGrid">
    <w:name w:val="Table Grid"/>
    <w:basedOn w:val="TableNormal"/>
    <w:uiPriority w:val="59"/>
    <w:rsid w:val="00E2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116801">
      <w:bodyDiv w:val="1"/>
      <w:marLeft w:val="0"/>
      <w:marRight w:val="0"/>
      <w:marTop w:val="0"/>
      <w:marBottom w:val="0"/>
      <w:divBdr>
        <w:top w:val="none" w:sz="0" w:space="0" w:color="auto"/>
        <w:left w:val="none" w:sz="0" w:space="0" w:color="auto"/>
        <w:bottom w:val="none" w:sz="0" w:space="0" w:color="auto"/>
        <w:right w:val="none" w:sz="0" w:space="0" w:color="auto"/>
      </w:divBdr>
    </w:div>
    <w:div w:id="17218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yanville.com/businessmarkets/articles/thestreet-bankruptcy-mismanagement-bad-debts-internet/12/17/2010/id/31758" TargetMode="External"/><Relationship Id="rId13" Type="http://schemas.openxmlformats.org/officeDocument/2006/relationships/hyperlink" Target="http://seekingalpha.com/article/59535-the-right-price-for-rite-aid" TargetMode="External"/><Relationship Id="rId3" Type="http://schemas.openxmlformats.org/officeDocument/2006/relationships/webSettings" Target="webSettings.xml"/><Relationship Id="rId7" Type="http://schemas.openxmlformats.org/officeDocument/2006/relationships/hyperlink" Target="http://www.investopedia.com/terms/a/altman.asp" TargetMode="External"/><Relationship Id="rId12" Type="http://schemas.openxmlformats.org/officeDocument/2006/relationships/hyperlink" Target="http://finance.yahoo.com/career-work/article/109251/businesses-on-the-brink-change-or-fail??mod=career-leader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smeal.psu.edu/grumpyoldaccountants/archives/89" TargetMode="External"/><Relationship Id="rId11" Type="http://schemas.openxmlformats.org/officeDocument/2006/relationships/hyperlink" Target="http://smarterspend.com/2011/02/8-companies-facing-bankruptcy-in-2011/" TargetMode="External"/><Relationship Id="rId5" Type="http://schemas.openxmlformats.org/officeDocument/2006/relationships/hyperlink" Target="http://www.riteaid.com/company/about/history.jsf" TargetMode="External"/><Relationship Id="rId15" Type="http://schemas.openxmlformats.org/officeDocument/2006/relationships/theme" Target="theme/theme1.xml"/><Relationship Id="rId10" Type="http://schemas.openxmlformats.org/officeDocument/2006/relationships/hyperlink" Target="http://www.riteaid.com/company/news/news_details.jsf?itemNumber=687" TargetMode="External"/><Relationship Id="rId4" Type="http://schemas.openxmlformats.org/officeDocument/2006/relationships/hyperlink" Target="http://www.sec.gov/news/press/2002-92.htm" TargetMode="External"/><Relationship Id="rId9" Type="http://schemas.openxmlformats.org/officeDocument/2006/relationships/hyperlink" Target="http://www.investopedia.com/terms/b/beneishmodel.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17</cp:revision>
  <dcterms:created xsi:type="dcterms:W3CDTF">2011-08-12T14:37:00Z</dcterms:created>
  <dcterms:modified xsi:type="dcterms:W3CDTF">2011-08-20T15:09:00Z</dcterms:modified>
</cp:coreProperties>
</file>