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A" w:rsidRDefault="00415209" w:rsidP="00653DB7">
      <w:pPr>
        <w:spacing w:after="0" w:line="240" w:lineRule="auto"/>
        <w:rPr>
          <w:rFonts w:ascii="Arial" w:hAnsi="Arial" w:cs="Arial"/>
          <w:b/>
          <w:sz w:val="28"/>
          <w:szCs w:val="28"/>
        </w:rPr>
      </w:pPr>
      <w:r>
        <w:rPr>
          <w:rFonts w:ascii="Arial" w:hAnsi="Arial" w:cs="Arial"/>
          <w:b/>
          <w:sz w:val="28"/>
          <w:szCs w:val="28"/>
        </w:rPr>
        <w:t>GROUPON: COMEDY OR DRAMA</w:t>
      </w:r>
      <w:r w:rsidR="00037151">
        <w:rPr>
          <w:rFonts w:ascii="Arial" w:hAnsi="Arial" w:cs="Arial"/>
          <w:b/>
          <w:sz w:val="28"/>
          <w:szCs w:val="28"/>
        </w:rPr>
        <w:t>?</w:t>
      </w:r>
    </w:p>
    <w:p w:rsidR="0059274A" w:rsidRDefault="0087771A" w:rsidP="00725204">
      <w:pPr>
        <w:spacing w:after="0" w:line="240" w:lineRule="auto"/>
        <w:rPr>
          <w:rFonts w:ascii="Arial" w:hAnsi="Arial" w:cs="Arial"/>
          <w:b/>
          <w:i/>
          <w:sz w:val="24"/>
          <w:szCs w:val="24"/>
        </w:rPr>
      </w:pPr>
      <w:r w:rsidRPr="0087771A">
        <w:rPr>
          <w:rFonts w:ascii="Arial" w:hAnsi="Arial" w:cs="Arial"/>
          <w:b/>
          <w:i/>
          <w:sz w:val="24"/>
          <w:szCs w:val="24"/>
        </w:rPr>
        <w:t>Anthony H. Catanach Jr. and J. Edward Ketz</w:t>
      </w:r>
    </w:p>
    <w:p w:rsidR="00725204" w:rsidRDefault="00725204" w:rsidP="00725204">
      <w:pPr>
        <w:spacing w:after="0" w:line="240" w:lineRule="auto"/>
        <w:rPr>
          <w:rFonts w:ascii="Arial" w:hAnsi="Arial" w:cs="Arial"/>
          <w:b/>
          <w:i/>
          <w:sz w:val="24"/>
          <w:szCs w:val="24"/>
        </w:rPr>
      </w:pPr>
      <w:r>
        <w:rPr>
          <w:rFonts w:ascii="Arial" w:hAnsi="Arial" w:cs="Arial"/>
          <w:b/>
          <w:i/>
          <w:sz w:val="24"/>
          <w:szCs w:val="24"/>
        </w:rPr>
        <w:t xml:space="preserve">Grumpy Old Accountants, </w:t>
      </w:r>
      <w:r w:rsidR="005A2202">
        <w:rPr>
          <w:rFonts w:ascii="Arial" w:hAnsi="Arial" w:cs="Arial"/>
          <w:b/>
          <w:i/>
          <w:sz w:val="24"/>
          <w:szCs w:val="24"/>
        </w:rPr>
        <w:t>June</w:t>
      </w:r>
      <w:r>
        <w:rPr>
          <w:rFonts w:ascii="Arial" w:hAnsi="Arial" w:cs="Arial"/>
          <w:b/>
          <w:i/>
          <w:sz w:val="24"/>
          <w:szCs w:val="24"/>
        </w:rPr>
        <w:t>, 2011</w:t>
      </w:r>
    </w:p>
    <w:p w:rsidR="00D97A87" w:rsidRDefault="00D97A87" w:rsidP="00725204">
      <w:pPr>
        <w:spacing w:after="0" w:line="240" w:lineRule="auto"/>
        <w:rPr>
          <w:rFonts w:ascii="Arial" w:hAnsi="Arial" w:cs="Arial"/>
          <w:b/>
          <w:sz w:val="24"/>
          <w:szCs w:val="24"/>
        </w:rPr>
      </w:pPr>
    </w:p>
    <w:p w:rsidR="000A2A4D" w:rsidRDefault="000A2A4D" w:rsidP="00725204">
      <w:pPr>
        <w:spacing w:after="0" w:line="240" w:lineRule="auto"/>
        <w:rPr>
          <w:rFonts w:ascii="Arial" w:hAnsi="Arial" w:cs="Arial"/>
          <w:b/>
          <w:sz w:val="24"/>
          <w:szCs w:val="24"/>
        </w:rPr>
      </w:pPr>
    </w:p>
    <w:p w:rsidR="000A2A4D" w:rsidRPr="00CB2092" w:rsidRDefault="000A2A4D" w:rsidP="00725204">
      <w:pPr>
        <w:spacing w:after="0" w:line="240" w:lineRule="auto"/>
        <w:rPr>
          <w:rFonts w:ascii="Arial" w:hAnsi="Arial" w:cs="Arial"/>
          <w:b/>
          <w:sz w:val="24"/>
          <w:szCs w:val="24"/>
        </w:rPr>
      </w:pPr>
    </w:p>
    <w:p w:rsidR="005A2202" w:rsidRDefault="00415209" w:rsidP="00725204">
      <w:pPr>
        <w:spacing w:after="0" w:line="240" w:lineRule="auto"/>
        <w:rPr>
          <w:rFonts w:ascii="Verdana" w:hAnsi="Verdana" w:cs="Arial"/>
          <w:sz w:val="24"/>
          <w:szCs w:val="24"/>
        </w:rPr>
      </w:pPr>
      <w:r>
        <w:rPr>
          <w:rFonts w:ascii="Verdana" w:hAnsi="Verdana" w:cs="Arial"/>
          <w:sz w:val="24"/>
          <w:szCs w:val="24"/>
        </w:rPr>
        <w:t xml:space="preserve">How seriously are we to take the IPO of Groupon, Inc.?  We shall permit others the fun of debating the merits of </w:t>
      </w:r>
      <w:r w:rsidR="00731E49">
        <w:rPr>
          <w:rFonts w:ascii="Verdana" w:hAnsi="Verdana" w:cs="Arial"/>
          <w:sz w:val="24"/>
          <w:szCs w:val="24"/>
        </w:rPr>
        <w:t>the</w:t>
      </w:r>
      <w:r>
        <w:rPr>
          <w:rFonts w:ascii="Verdana" w:hAnsi="Verdana" w:cs="Arial"/>
          <w:sz w:val="24"/>
          <w:szCs w:val="24"/>
        </w:rPr>
        <w:t xml:space="preserve"> business plan</w:t>
      </w:r>
      <w:r w:rsidR="00731E49">
        <w:rPr>
          <w:rFonts w:ascii="Verdana" w:hAnsi="Verdana" w:cs="Arial"/>
          <w:sz w:val="24"/>
          <w:szCs w:val="24"/>
        </w:rPr>
        <w:t xml:space="preserve"> put forward by Groupon’s managers</w:t>
      </w:r>
      <w:r>
        <w:rPr>
          <w:rFonts w:ascii="Verdana" w:hAnsi="Verdana" w:cs="Arial"/>
          <w:sz w:val="24"/>
          <w:szCs w:val="24"/>
        </w:rPr>
        <w:t>.  We have serious concerns whether the concept of daily, local couponing makes sense</w:t>
      </w:r>
      <w:r w:rsidR="001B6FD9">
        <w:rPr>
          <w:rFonts w:ascii="Verdana" w:hAnsi="Verdana" w:cs="Arial"/>
          <w:sz w:val="24"/>
          <w:szCs w:val="24"/>
        </w:rPr>
        <w:t xml:space="preserve"> strategically</w:t>
      </w:r>
      <w:r>
        <w:rPr>
          <w:rFonts w:ascii="Verdana" w:hAnsi="Verdana" w:cs="Arial"/>
          <w:sz w:val="24"/>
          <w:szCs w:val="24"/>
        </w:rPr>
        <w:t>, but as our expertise rests in accounting and finance, let’s take a close look at the entity’s S-1</w:t>
      </w:r>
      <w:r w:rsidR="001B6FD9">
        <w:rPr>
          <w:rFonts w:ascii="Verdana" w:hAnsi="Verdana" w:cs="Arial"/>
          <w:sz w:val="24"/>
          <w:szCs w:val="24"/>
        </w:rPr>
        <w:t xml:space="preserve"> filing with the SEC</w:t>
      </w:r>
      <w:r w:rsidR="00731E49">
        <w:rPr>
          <w:rFonts w:ascii="Verdana" w:hAnsi="Verdana" w:cs="Arial"/>
          <w:sz w:val="24"/>
          <w:szCs w:val="24"/>
        </w:rPr>
        <w:t xml:space="preserve">, </w:t>
      </w:r>
      <w:r w:rsidR="00A6528A">
        <w:rPr>
          <w:rFonts w:ascii="Verdana" w:hAnsi="Verdana" w:cs="Arial"/>
          <w:sz w:val="24"/>
          <w:szCs w:val="24"/>
        </w:rPr>
        <w:t>where there is plenty to digest</w:t>
      </w:r>
      <w:r>
        <w:rPr>
          <w:rFonts w:ascii="Verdana" w:hAnsi="Verdana" w:cs="Arial"/>
          <w:sz w:val="24"/>
          <w:szCs w:val="24"/>
        </w:rPr>
        <w:t>.  A</w:t>
      </w:r>
      <w:r w:rsidR="001B6FD9">
        <w:rPr>
          <w:rFonts w:ascii="Verdana" w:hAnsi="Verdana" w:cs="Arial"/>
          <w:sz w:val="24"/>
          <w:szCs w:val="24"/>
        </w:rPr>
        <w:t>s</w:t>
      </w:r>
      <w:r>
        <w:rPr>
          <w:rFonts w:ascii="Verdana" w:hAnsi="Verdana" w:cs="Arial"/>
          <w:sz w:val="24"/>
          <w:szCs w:val="24"/>
        </w:rPr>
        <w:t xml:space="preserve"> we do so, we </w:t>
      </w:r>
      <w:r w:rsidR="001B6FD9">
        <w:rPr>
          <w:rFonts w:ascii="Verdana" w:hAnsi="Verdana" w:cs="Arial"/>
          <w:sz w:val="24"/>
          <w:szCs w:val="24"/>
        </w:rPr>
        <w:t>shall</w:t>
      </w:r>
      <w:r>
        <w:rPr>
          <w:rFonts w:ascii="Verdana" w:hAnsi="Verdana" w:cs="Arial"/>
          <w:sz w:val="24"/>
          <w:szCs w:val="24"/>
        </w:rPr>
        <w:t xml:space="preserve"> laugh and cry together.</w:t>
      </w:r>
    </w:p>
    <w:p w:rsidR="005A2202" w:rsidRDefault="005A2202" w:rsidP="00725204">
      <w:pPr>
        <w:spacing w:after="0" w:line="240" w:lineRule="auto"/>
        <w:rPr>
          <w:rFonts w:ascii="Verdana" w:hAnsi="Verdana" w:cs="Arial"/>
          <w:sz w:val="24"/>
          <w:szCs w:val="24"/>
        </w:rPr>
      </w:pPr>
    </w:p>
    <w:p w:rsidR="00142EC3" w:rsidRDefault="00731E49" w:rsidP="00725204">
      <w:pPr>
        <w:spacing w:after="0" w:line="240" w:lineRule="auto"/>
        <w:rPr>
          <w:rFonts w:ascii="Verdana" w:hAnsi="Verdana" w:cs="Arial"/>
          <w:sz w:val="24"/>
          <w:szCs w:val="24"/>
        </w:rPr>
      </w:pPr>
      <w:r>
        <w:rPr>
          <w:rFonts w:ascii="Verdana" w:hAnsi="Verdana" w:cs="Arial"/>
          <w:sz w:val="24"/>
          <w:szCs w:val="24"/>
        </w:rPr>
        <w:t xml:space="preserve">Let’s begin with the income statement.  Sales exploded from $30 (all </w:t>
      </w:r>
      <w:r w:rsidR="00E35646">
        <w:rPr>
          <w:rFonts w:ascii="Verdana" w:hAnsi="Verdana" w:cs="Arial"/>
          <w:sz w:val="24"/>
          <w:szCs w:val="24"/>
        </w:rPr>
        <w:t xml:space="preserve">account balances are </w:t>
      </w:r>
      <w:r>
        <w:rPr>
          <w:rFonts w:ascii="Verdana" w:hAnsi="Verdana" w:cs="Arial"/>
          <w:sz w:val="24"/>
          <w:szCs w:val="24"/>
        </w:rPr>
        <w:t xml:space="preserve">in millions of dollars) in 2009 to $713 in 2010, an almost unheard of 23-fold growth.  Unfortunately, expenses </w:t>
      </w:r>
      <w:r w:rsidR="00BE7C21">
        <w:rPr>
          <w:rFonts w:ascii="Verdana" w:hAnsi="Verdana" w:cs="Arial"/>
          <w:sz w:val="24"/>
          <w:szCs w:val="24"/>
        </w:rPr>
        <w:t xml:space="preserve">had an </w:t>
      </w:r>
      <w:r>
        <w:rPr>
          <w:rFonts w:ascii="Verdana" w:hAnsi="Verdana" w:cs="Arial"/>
          <w:sz w:val="24"/>
          <w:szCs w:val="24"/>
        </w:rPr>
        <w:t xml:space="preserve">even </w:t>
      </w:r>
      <w:r w:rsidR="00BE7C21">
        <w:rPr>
          <w:rFonts w:ascii="Verdana" w:hAnsi="Verdana" w:cs="Arial"/>
          <w:sz w:val="24"/>
          <w:szCs w:val="24"/>
        </w:rPr>
        <w:t>greater</w:t>
      </w:r>
      <w:r>
        <w:rPr>
          <w:rFonts w:ascii="Verdana" w:hAnsi="Verdana" w:cs="Arial"/>
          <w:sz w:val="24"/>
          <w:szCs w:val="24"/>
        </w:rPr>
        <w:t xml:space="preserve"> astronomical growth, going from $37 in 2009 to $1,170 in 2010 for net losses of $(7) and $(456), respectively.  The biggest expense accretion resides in acquisition-related expenses of $203; however, even if we remove this item from consideration, expenses are still $967 and </w:t>
      </w:r>
      <w:r w:rsidR="008C45E4">
        <w:rPr>
          <w:rFonts w:ascii="Verdana" w:hAnsi="Verdana" w:cs="Arial"/>
          <w:sz w:val="24"/>
          <w:szCs w:val="24"/>
        </w:rPr>
        <w:t xml:space="preserve">they </w:t>
      </w:r>
      <w:r>
        <w:rPr>
          <w:rFonts w:ascii="Verdana" w:hAnsi="Verdana" w:cs="Arial"/>
          <w:sz w:val="24"/>
          <w:szCs w:val="24"/>
        </w:rPr>
        <w:t xml:space="preserve">still swamp revenues.  </w:t>
      </w:r>
      <w:r w:rsidR="005546A0">
        <w:rPr>
          <w:rFonts w:ascii="Verdana" w:hAnsi="Verdana" w:cs="Arial"/>
          <w:sz w:val="24"/>
          <w:szCs w:val="24"/>
        </w:rPr>
        <w:t>Persistent earnings are clearly negative and serve as one huge red flag.</w:t>
      </w:r>
    </w:p>
    <w:p w:rsidR="00BE7C21" w:rsidRDefault="00BE7C21" w:rsidP="00725204">
      <w:pPr>
        <w:spacing w:after="0" w:line="240" w:lineRule="auto"/>
        <w:rPr>
          <w:rFonts w:ascii="Verdana" w:hAnsi="Verdana" w:cs="Arial"/>
          <w:sz w:val="24"/>
          <w:szCs w:val="24"/>
        </w:rPr>
      </w:pPr>
    </w:p>
    <w:p w:rsidR="00BE7C21" w:rsidRDefault="00BE7C21" w:rsidP="00725204">
      <w:pPr>
        <w:spacing w:after="0" w:line="240" w:lineRule="auto"/>
        <w:rPr>
          <w:rFonts w:ascii="Verdana" w:hAnsi="Verdana" w:cs="Arial"/>
          <w:sz w:val="24"/>
          <w:szCs w:val="24"/>
        </w:rPr>
      </w:pPr>
      <w:r>
        <w:rPr>
          <w:rFonts w:ascii="Verdana" w:hAnsi="Verdana" w:cs="Arial"/>
          <w:sz w:val="24"/>
          <w:szCs w:val="24"/>
        </w:rPr>
        <w:t>The balance sheet also displays</w:t>
      </w:r>
      <w:r w:rsidRPr="00BE7C21">
        <w:rPr>
          <w:rFonts w:ascii="Verdana" w:hAnsi="Verdana" w:cs="Arial"/>
          <w:sz w:val="24"/>
          <w:szCs w:val="24"/>
        </w:rPr>
        <w:t xml:space="preserve"> </w:t>
      </w:r>
      <w:r>
        <w:rPr>
          <w:rFonts w:ascii="Verdana" w:hAnsi="Verdana" w:cs="Arial"/>
          <w:sz w:val="24"/>
          <w:szCs w:val="24"/>
        </w:rPr>
        <w:t>repugnance.  Current assets are $174 while current liabilities equal $370.  Any business sophomore knows that isn’t good.  Total assets equal $382 and total liabilities $372, so total stockholders’ equity is a mere $10.  Having only 3% equity isn’t good for banks, much less anybody else; the financial leverage risk is huge.</w:t>
      </w:r>
    </w:p>
    <w:p w:rsidR="00BE7C21" w:rsidRDefault="00BE7C21" w:rsidP="00725204">
      <w:pPr>
        <w:spacing w:after="0" w:line="240" w:lineRule="auto"/>
        <w:rPr>
          <w:rFonts w:ascii="Verdana" w:hAnsi="Verdana" w:cs="Arial"/>
          <w:sz w:val="24"/>
          <w:szCs w:val="24"/>
        </w:rPr>
      </w:pPr>
    </w:p>
    <w:p w:rsidR="00F7195B" w:rsidRPr="00F7195B" w:rsidRDefault="00BE7C21" w:rsidP="00F7195B">
      <w:pPr>
        <w:pStyle w:val="BodyText"/>
        <w:spacing w:after="240" w:line="240" w:lineRule="auto"/>
        <w:rPr>
          <w:rFonts w:ascii="Verdana" w:hAnsi="Verdana"/>
        </w:rPr>
      </w:pPr>
      <w:r>
        <w:rPr>
          <w:rFonts w:ascii="Verdana" w:hAnsi="Verdana" w:cs="Arial"/>
          <w:szCs w:val="24"/>
        </w:rPr>
        <w:t xml:space="preserve">This is a company in </w:t>
      </w:r>
      <w:r w:rsidRPr="00F7195B">
        <w:rPr>
          <w:rFonts w:ascii="Verdana" w:hAnsi="Verdana" w:cs="Arial"/>
          <w:szCs w:val="24"/>
        </w:rPr>
        <w:t>trouble from the get-go.  Let’s make this more concrete by using the Altman bankruptcy model for non</w:t>
      </w:r>
      <w:r w:rsidR="00571EAE">
        <w:rPr>
          <w:rFonts w:ascii="Verdana" w:hAnsi="Verdana" w:cs="Arial"/>
          <w:szCs w:val="24"/>
        </w:rPr>
        <w:t>-</w:t>
      </w:r>
      <w:r w:rsidRPr="00F7195B">
        <w:rPr>
          <w:rFonts w:ascii="Verdana" w:hAnsi="Verdana" w:cs="Arial"/>
          <w:szCs w:val="24"/>
        </w:rPr>
        <w:t xml:space="preserve">manufacturers.  </w:t>
      </w:r>
      <w:r w:rsidR="00F7195B">
        <w:rPr>
          <w:rFonts w:ascii="Verdana" w:hAnsi="Verdana" w:cs="Arial"/>
          <w:szCs w:val="24"/>
        </w:rPr>
        <w:t xml:space="preserve">This </w:t>
      </w:r>
      <w:r w:rsidR="00F7195B" w:rsidRPr="00F7195B">
        <w:rPr>
          <w:rFonts w:ascii="Verdana" w:hAnsi="Verdana"/>
        </w:rPr>
        <w:t>Z-score model is:</w:t>
      </w:r>
    </w:p>
    <w:p w:rsidR="00F7195B" w:rsidRPr="00F7195B" w:rsidRDefault="00F7195B" w:rsidP="00F7195B">
      <w:pPr>
        <w:pStyle w:val="BodyText"/>
        <w:spacing w:after="240" w:line="240" w:lineRule="auto"/>
        <w:rPr>
          <w:rFonts w:ascii="Verdana" w:hAnsi="Verdana"/>
        </w:rPr>
      </w:pPr>
      <w:r w:rsidRPr="00F7195B">
        <w:rPr>
          <w:rFonts w:ascii="Verdana" w:hAnsi="Verdana"/>
        </w:rPr>
        <w:tab/>
        <w:t>Z = 6.56 * WC/TA + 3.26 * RE/TA + 6.72 * EBIT/TA + 1.05 * BVE/TD</w:t>
      </w:r>
    </w:p>
    <w:p w:rsidR="00F7195B" w:rsidRPr="00F7195B" w:rsidRDefault="00F7195B" w:rsidP="001941B1">
      <w:pPr>
        <w:pStyle w:val="BodyText"/>
        <w:spacing w:line="240" w:lineRule="auto"/>
        <w:rPr>
          <w:rFonts w:ascii="Verdana" w:hAnsi="Verdana"/>
        </w:rPr>
      </w:pPr>
      <w:r w:rsidRPr="00F7195B">
        <w:rPr>
          <w:rFonts w:ascii="Verdana" w:hAnsi="Verdana"/>
        </w:rPr>
        <w:t>where WC = working capital</w:t>
      </w:r>
      <w:r w:rsidR="001941B1">
        <w:rPr>
          <w:rFonts w:ascii="Verdana" w:hAnsi="Verdana"/>
        </w:rPr>
        <w:t xml:space="preserve">, </w:t>
      </w:r>
      <w:r w:rsidRPr="00F7195B">
        <w:rPr>
          <w:rFonts w:ascii="Verdana" w:hAnsi="Verdana"/>
        </w:rPr>
        <w:t>TA= total assets</w:t>
      </w:r>
      <w:r w:rsidR="001941B1">
        <w:rPr>
          <w:rFonts w:ascii="Verdana" w:hAnsi="Verdana"/>
        </w:rPr>
        <w:t>,</w:t>
      </w:r>
      <w:r w:rsidR="00D05785">
        <w:rPr>
          <w:rFonts w:ascii="Verdana" w:hAnsi="Verdana"/>
        </w:rPr>
        <w:t xml:space="preserve"> </w:t>
      </w:r>
      <w:r w:rsidRPr="00F7195B">
        <w:rPr>
          <w:rFonts w:ascii="Verdana" w:hAnsi="Verdana"/>
        </w:rPr>
        <w:t>RE = retained earnings</w:t>
      </w:r>
      <w:r w:rsidR="001941B1">
        <w:rPr>
          <w:rFonts w:ascii="Verdana" w:hAnsi="Verdana"/>
        </w:rPr>
        <w:t>,</w:t>
      </w:r>
      <w:r w:rsidR="00D05785">
        <w:rPr>
          <w:rFonts w:ascii="Verdana" w:hAnsi="Verdana"/>
        </w:rPr>
        <w:t xml:space="preserve"> </w:t>
      </w:r>
      <w:r w:rsidRPr="00F7195B">
        <w:rPr>
          <w:rFonts w:ascii="Verdana" w:hAnsi="Verdana"/>
        </w:rPr>
        <w:t>EBIT = earnings before interest and taxes</w:t>
      </w:r>
      <w:r w:rsidR="001941B1">
        <w:rPr>
          <w:rFonts w:ascii="Verdana" w:hAnsi="Verdana"/>
        </w:rPr>
        <w:t>,</w:t>
      </w:r>
      <w:r w:rsidR="00D05785">
        <w:rPr>
          <w:rFonts w:ascii="Verdana" w:hAnsi="Verdana"/>
        </w:rPr>
        <w:t xml:space="preserve"> </w:t>
      </w:r>
      <w:r w:rsidRPr="00F7195B">
        <w:rPr>
          <w:rFonts w:ascii="Verdana" w:hAnsi="Verdana"/>
        </w:rPr>
        <w:t>BVE = book value of equity</w:t>
      </w:r>
      <w:r w:rsidR="001941B1">
        <w:rPr>
          <w:rFonts w:ascii="Verdana" w:hAnsi="Verdana"/>
        </w:rPr>
        <w:t>,</w:t>
      </w:r>
      <w:r w:rsidRPr="00F7195B">
        <w:rPr>
          <w:rFonts w:ascii="Verdana" w:hAnsi="Verdana"/>
        </w:rPr>
        <w:t xml:space="preserve"> and</w:t>
      </w:r>
      <w:r w:rsidR="00D05785">
        <w:rPr>
          <w:rFonts w:ascii="Verdana" w:hAnsi="Verdana"/>
        </w:rPr>
        <w:t xml:space="preserve"> </w:t>
      </w:r>
      <w:r w:rsidRPr="00F7195B">
        <w:rPr>
          <w:rFonts w:ascii="Verdana" w:hAnsi="Verdana"/>
        </w:rPr>
        <w:t>TD = total debts.</w:t>
      </w:r>
    </w:p>
    <w:p w:rsidR="00F7195B" w:rsidRPr="00F7195B" w:rsidRDefault="00F7195B" w:rsidP="00F33120">
      <w:pPr>
        <w:pStyle w:val="BodyTextIndent"/>
        <w:spacing w:after="0"/>
        <w:ind w:left="0"/>
        <w:rPr>
          <w:rFonts w:ascii="Verdana" w:hAnsi="Verdana"/>
          <w:sz w:val="24"/>
          <w:szCs w:val="24"/>
        </w:rPr>
      </w:pPr>
    </w:p>
    <w:p w:rsidR="00F7195B" w:rsidRPr="00F7195B" w:rsidRDefault="00F7195B" w:rsidP="007C73BF">
      <w:pPr>
        <w:pStyle w:val="BodyTextIndent"/>
        <w:spacing w:after="0"/>
        <w:ind w:left="0"/>
        <w:rPr>
          <w:rFonts w:ascii="Verdana" w:hAnsi="Verdana"/>
          <w:sz w:val="24"/>
          <w:szCs w:val="24"/>
        </w:rPr>
      </w:pPr>
      <w:r w:rsidRPr="00F7195B">
        <w:rPr>
          <w:rFonts w:ascii="Verdana" w:hAnsi="Verdana"/>
          <w:sz w:val="24"/>
          <w:szCs w:val="24"/>
        </w:rPr>
        <w:t xml:space="preserve">One interprets the Z-score as follows.  If Z&gt;2.6, then we predict the firm is healthy and relatively free from financial distress.  If 1.1&lt;Z&lt;2.6, the company is in the indeterminate zone.  It faces some financial distress, but more investigation is needed to determine how serious it is.  But, if Z&lt;1.1, </w:t>
      </w:r>
      <w:r w:rsidRPr="00F7195B">
        <w:rPr>
          <w:rFonts w:ascii="Verdana" w:hAnsi="Verdana"/>
          <w:sz w:val="24"/>
          <w:szCs w:val="24"/>
        </w:rPr>
        <w:lastRenderedPageBreak/>
        <w:t>then the model predicts that the firm faces a serious chance of going into bankruptcy.</w:t>
      </w:r>
    </w:p>
    <w:p w:rsidR="00BE7C21" w:rsidRPr="00F7195B" w:rsidRDefault="00BE7C21" w:rsidP="00725204">
      <w:pPr>
        <w:spacing w:after="0" w:line="240" w:lineRule="auto"/>
        <w:rPr>
          <w:rFonts w:ascii="Verdana" w:hAnsi="Verdana" w:cs="Arial"/>
          <w:sz w:val="24"/>
          <w:szCs w:val="24"/>
        </w:rPr>
      </w:pPr>
    </w:p>
    <w:p w:rsidR="00F7195B" w:rsidRPr="00F7195B" w:rsidRDefault="007C73BF" w:rsidP="00725204">
      <w:pPr>
        <w:spacing w:after="0" w:line="240" w:lineRule="auto"/>
        <w:rPr>
          <w:rFonts w:ascii="Verdana" w:hAnsi="Verdana" w:cs="Arial"/>
          <w:sz w:val="24"/>
          <w:szCs w:val="24"/>
        </w:rPr>
      </w:pPr>
      <w:r>
        <w:rPr>
          <w:rFonts w:ascii="Verdana" w:hAnsi="Verdana" w:cs="Arial"/>
          <w:sz w:val="24"/>
          <w:szCs w:val="24"/>
        </w:rPr>
        <w:t xml:space="preserve">Groupon’s Z-scores drop off the cliff; the scores </w:t>
      </w:r>
      <w:r w:rsidR="009F5DC2">
        <w:rPr>
          <w:rFonts w:ascii="Verdana" w:hAnsi="Verdana" w:cs="Arial"/>
          <w:sz w:val="24"/>
          <w:szCs w:val="24"/>
        </w:rPr>
        <w:t xml:space="preserve">hardly indicate any </w:t>
      </w:r>
      <w:r>
        <w:rPr>
          <w:rFonts w:ascii="Verdana" w:hAnsi="Verdana" w:cs="Arial"/>
          <w:sz w:val="24"/>
          <w:szCs w:val="24"/>
        </w:rPr>
        <w:t xml:space="preserve">pulse </w:t>
      </w:r>
      <w:r w:rsidR="009F5DC2">
        <w:rPr>
          <w:rFonts w:ascii="Verdana" w:hAnsi="Verdana" w:cs="Arial"/>
          <w:sz w:val="24"/>
          <w:szCs w:val="24"/>
        </w:rPr>
        <w:t>for this patient</w:t>
      </w:r>
      <w:r>
        <w:rPr>
          <w:rFonts w:ascii="Verdana" w:hAnsi="Verdana" w:cs="Arial"/>
          <w:sz w:val="24"/>
          <w:szCs w:val="24"/>
        </w:rPr>
        <w:t xml:space="preserve">.  In 2009 the Altman Z-score </w:t>
      </w:r>
      <w:r w:rsidRPr="00AD5D19">
        <w:rPr>
          <w:rFonts w:ascii="Verdana" w:hAnsi="Verdana" w:cs="Arial"/>
          <w:sz w:val="24"/>
          <w:szCs w:val="24"/>
        </w:rPr>
        <w:t xml:space="preserve">is </w:t>
      </w:r>
      <w:r w:rsidR="00AD5D19">
        <w:rPr>
          <w:rFonts w:ascii="Verdana" w:hAnsi="Verdana" w:cs="Arial"/>
          <w:sz w:val="24"/>
          <w:szCs w:val="24"/>
        </w:rPr>
        <w:t>-</w:t>
      </w:r>
      <w:r w:rsidRPr="00AD5D19">
        <w:rPr>
          <w:rFonts w:ascii="Verdana" w:hAnsi="Verdana" w:cs="Arial"/>
          <w:sz w:val="24"/>
          <w:szCs w:val="24"/>
        </w:rPr>
        <w:t>4.75</w:t>
      </w:r>
      <w:r>
        <w:rPr>
          <w:rFonts w:ascii="Verdana" w:hAnsi="Verdana" w:cs="Arial"/>
          <w:sz w:val="24"/>
          <w:szCs w:val="24"/>
        </w:rPr>
        <w:t xml:space="preserve"> and in 2010 it is </w:t>
      </w:r>
      <w:r w:rsidR="00AD5D19">
        <w:rPr>
          <w:rFonts w:ascii="Verdana" w:hAnsi="Verdana" w:cs="Arial"/>
          <w:sz w:val="24"/>
          <w:szCs w:val="24"/>
        </w:rPr>
        <w:t>-</w:t>
      </w:r>
      <w:r w:rsidRPr="00AD5D19">
        <w:rPr>
          <w:rFonts w:ascii="Verdana" w:hAnsi="Verdana" w:cs="Arial"/>
          <w:sz w:val="24"/>
          <w:szCs w:val="24"/>
        </w:rPr>
        <w:t>14.33.</w:t>
      </w:r>
      <w:r>
        <w:rPr>
          <w:rFonts w:ascii="Verdana" w:hAnsi="Verdana" w:cs="Arial"/>
          <w:sz w:val="24"/>
          <w:szCs w:val="24"/>
        </w:rPr>
        <w:t xml:space="preserve">  Why is anybody taking this IPO seriously?</w:t>
      </w:r>
    </w:p>
    <w:p w:rsidR="00F7195B" w:rsidRPr="00F7195B" w:rsidRDefault="00F7195B" w:rsidP="00725204">
      <w:pPr>
        <w:spacing w:after="0" w:line="240" w:lineRule="auto"/>
        <w:rPr>
          <w:rFonts w:ascii="Verdana" w:hAnsi="Verdana" w:cs="Arial"/>
          <w:sz w:val="24"/>
          <w:szCs w:val="24"/>
        </w:rPr>
      </w:pPr>
    </w:p>
    <w:p w:rsidR="00F7195B" w:rsidRPr="00F7195B" w:rsidRDefault="00576D07" w:rsidP="00725204">
      <w:pPr>
        <w:spacing w:after="0" w:line="240" w:lineRule="auto"/>
        <w:rPr>
          <w:rFonts w:ascii="Verdana" w:hAnsi="Verdana" w:cs="Arial"/>
          <w:sz w:val="24"/>
          <w:szCs w:val="24"/>
        </w:rPr>
      </w:pPr>
      <w:r>
        <w:rPr>
          <w:rFonts w:ascii="Verdana" w:hAnsi="Verdana" w:cs="Arial"/>
          <w:sz w:val="24"/>
          <w:szCs w:val="24"/>
        </w:rPr>
        <w:t xml:space="preserve">Even if Groupon pulls off the IPO and brings $750 </w:t>
      </w:r>
      <w:r w:rsidR="00F34449">
        <w:rPr>
          <w:rFonts w:ascii="Verdana" w:hAnsi="Verdana" w:cs="Arial"/>
          <w:sz w:val="24"/>
          <w:szCs w:val="24"/>
        </w:rPr>
        <w:t>in</w:t>
      </w:r>
      <w:r>
        <w:rPr>
          <w:rFonts w:ascii="Verdana" w:hAnsi="Verdana" w:cs="Arial"/>
          <w:sz w:val="24"/>
          <w:szCs w:val="24"/>
        </w:rPr>
        <w:t>to the t</w:t>
      </w:r>
      <w:r w:rsidR="00F34449">
        <w:rPr>
          <w:rFonts w:ascii="Verdana" w:hAnsi="Verdana" w:cs="Arial"/>
          <w:sz w:val="24"/>
          <w:szCs w:val="24"/>
        </w:rPr>
        <w:t>reasury</w:t>
      </w:r>
      <w:r>
        <w:rPr>
          <w:rFonts w:ascii="Verdana" w:hAnsi="Verdana" w:cs="Arial"/>
          <w:sz w:val="24"/>
          <w:szCs w:val="24"/>
        </w:rPr>
        <w:t xml:space="preserve">, it does not improve the situation sufficiently to take the firm off life support.  Adding $750 to current assets (cash) and to stockholders equity, the Z-score then becomes </w:t>
      </w:r>
      <w:r w:rsidR="00B9049E">
        <w:rPr>
          <w:rFonts w:ascii="Verdana" w:hAnsi="Verdana" w:cs="Arial"/>
          <w:sz w:val="24"/>
          <w:szCs w:val="24"/>
        </w:rPr>
        <w:t>1.65 and the score is in the indeterminate zone</w:t>
      </w:r>
      <w:r w:rsidR="00E65D53">
        <w:rPr>
          <w:rFonts w:ascii="Verdana" w:hAnsi="Verdana" w:cs="Arial"/>
          <w:sz w:val="24"/>
          <w:szCs w:val="24"/>
        </w:rPr>
        <w:t xml:space="preserve">.  </w:t>
      </w:r>
      <w:r w:rsidR="00AE1286">
        <w:rPr>
          <w:rFonts w:ascii="Verdana" w:hAnsi="Verdana" w:cs="Arial"/>
          <w:sz w:val="24"/>
          <w:szCs w:val="24"/>
        </w:rPr>
        <w:t xml:space="preserve">That’s because the IPO, </w:t>
      </w:r>
      <w:r w:rsidR="00F33120">
        <w:rPr>
          <w:rFonts w:ascii="Verdana" w:hAnsi="Verdana" w:cs="Arial"/>
          <w:sz w:val="24"/>
          <w:szCs w:val="24"/>
        </w:rPr>
        <w:t xml:space="preserve">even </w:t>
      </w:r>
      <w:r w:rsidR="00AE1286">
        <w:rPr>
          <w:rFonts w:ascii="Verdana" w:hAnsi="Verdana" w:cs="Arial"/>
          <w:sz w:val="24"/>
          <w:szCs w:val="24"/>
        </w:rPr>
        <w:t xml:space="preserve">if all goes </w:t>
      </w:r>
      <w:r w:rsidR="00C43065">
        <w:rPr>
          <w:rFonts w:ascii="Verdana" w:hAnsi="Verdana" w:cs="Arial"/>
          <w:sz w:val="24"/>
          <w:szCs w:val="24"/>
        </w:rPr>
        <w:t>perfectly</w:t>
      </w:r>
      <w:r w:rsidR="00AE1286">
        <w:rPr>
          <w:rFonts w:ascii="Verdana" w:hAnsi="Verdana" w:cs="Arial"/>
          <w:sz w:val="24"/>
          <w:szCs w:val="24"/>
        </w:rPr>
        <w:t xml:space="preserve"> for the company, will fix the balance sheet woes</w:t>
      </w:r>
      <w:r w:rsidR="002E559A">
        <w:rPr>
          <w:rFonts w:ascii="Verdana" w:hAnsi="Verdana" w:cs="Arial"/>
          <w:sz w:val="24"/>
          <w:szCs w:val="24"/>
        </w:rPr>
        <w:t>; however, i</w:t>
      </w:r>
      <w:r w:rsidR="00AE1286">
        <w:rPr>
          <w:rFonts w:ascii="Verdana" w:hAnsi="Verdana" w:cs="Arial"/>
          <w:sz w:val="24"/>
          <w:szCs w:val="24"/>
        </w:rPr>
        <w:t>t does nothing to cure the income statement disease</w:t>
      </w:r>
      <w:r w:rsidR="005F4EA3">
        <w:rPr>
          <w:rFonts w:ascii="Verdana" w:hAnsi="Verdana" w:cs="Arial"/>
          <w:sz w:val="24"/>
          <w:szCs w:val="24"/>
        </w:rPr>
        <w:t xml:space="preserve"> of greater expenses than revenues</w:t>
      </w:r>
      <w:r w:rsidR="00AE1286">
        <w:rPr>
          <w:rFonts w:ascii="Verdana" w:hAnsi="Verdana" w:cs="Arial"/>
          <w:sz w:val="24"/>
          <w:szCs w:val="24"/>
        </w:rPr>
        <w:t>.</w:t>
      </w:r>
    </w:p>
    <w:p w:rsidR="00F7195B" w:rsidRDefault="00F7195B" w:rsidP="00725204">
      <w:pPr>
        <w:spacing w:after="0" w:line="240" w:lineRule="auto"/>
        <w:rPr>
          <w:rFonts w:ascii="Verdana" w:hAnsi="Verdana" w:cs="Arial"/>
          <w:sz w:val="24"/>
          <w:szCs w:val="24"/>
        </w:rPr>
      </w:pPr>
    </w:p>
    <w:p w:rsidR="00571EAE" w:rsidRPr="00F7195B" w:rsidRDefault="00571EAE" w:rsidP="00725204">
      <w:pPr>
        <w:spacing w:after="0" w:line="240" w:lineRule="auto"/>
        <w:rPr>
          <w:rFonts w:ascii="Verdana" w:hAnsi="Verdana" w:cs="Arial"/>
          <w:sz w:val="24"/>
          <w:szCs w:val="24"/>
        </w:rPr>
      </w:pPr>
      <w:r>
        <w:rPr>
          <w:rFonts w:ascii="Verdana" w:hAnsi="Verdana" w:cs="Arial"/>
          <w:sz w:val="24"/>
          <w:szCs w:val="24"/>
        </w:rPr>
        <w:t xml:space="preserve">We quickly should add the balance sheet is not totally repaired because 2010 goodwill is $132 and other intangible assets are $41, so goodwill and other intangibles </w:t>
      </w:r>
      <w:r w:rsidR="003B75C2">
        <w:rPr>
          <w:rFonts w:ascii="Verdana" w:hAnsi="Verdana" w:cs="Arial"/>
          <w:sz w:val="24"/>
          <w:szCs w:val="24"/>
        </w:rPr>
        <w:t>make</w:t>
      </w:r>
      <w:r w:rsidR="0090582A">
        <w:rPr>
          <w:rFonts w:ascii="Verdana" w:hAnsi="Verdana" w:cs="Arial"/>
          <w:sz w:val="24"/>
          <w:szCs w:val="24"/>
        </w:rPr>
        <w:t xml:space="preserve"> up </w:t>
      </w:r>
      <w:r>
        <w:rPr>
          <w:rFonts w:ascii="Verdana" w:hAnsi="Verdana" w:cs="Arial"/>
          <w:sz w:val="24"/>
          <w:szCs w:val="24"/>
        </w:rPr>
        <w:t>45% of total assets.  As intangibles can lose value as rapidly as they are added to the balance sheet</w:t>
      </w:r>
      <w:r w:rsidR="0090582A">
        <w:rPr>
          <w:rFonts w:ascii="Verdana" w:hAnsi="Verdana" w:cs="Arial"/>
          <w:sz w:val="24"/>
          <w:szCs w:val="24"/>
        </w:rPr>
        <w:t xml:space="preserve"> initially</w:t>
      </w:r>
      <w:r>
        <w:rPr>
          <w:rFonts w:ascii="Verdana" w:hAnsi="Verdana" w:cs="Arial"/>
          <w:sz w:val="24"/>
          <w:szCs w:val="24"/>
        </w:rPr>
        <w:t>, we caution investors about the risk</w:t>
      </w:r>
      <w:r w:rsidR="00D74543">
        <w:rPr>
          <w:rFonts w:ascii="Verdana" w:hAnsi="Verdana" w:cs="Arial"/>
          <w:sz w:val="24"/>
          <w:szCs w:val="24"/>
        </w:rPr>
        <w:t xml:space="preserve"> inherent in these fair value measurements</w:t>
      </w:r>
      <w:r>
        <w:rPr>
          <w:rFonts w:ascii="Verdana" w:hAnsi="Verdana" w:cs="Arial"/>
          <w:sz w:val="24"/>
          <w:szCs w:val="24"/>
        </w:rPr>
        <w:t xml:space="preserve"> of goodwill and intangibles.  We think investors are better served to look at tangible assets, which are only $209, which in turns </w:t>
      </w:r>
      <w:r w:rsidR="0090582A">
        <w:rPr>
          <w:rFonts w:ascii="Verdana" w:hAnsi="Verdana" w:cs="Arial"/>
          <w:sz w:val="24"/>
          <w:szCs w:val="24"/>
        </w:rPr>
        <w:t>implies</w:t>
      </w:r>
      <w:r>
        <w:rPr>
          <w:rFonts w:ascii="Verdana" w:hAnsi="Verdana" w:cs="Arial"/>
          <w:sz w:val="24"/>
          <w:szCs w:val="24"/>
        </w:rPr>
        <w:t xml:space="preserve"> that tangible equity is</w:t>
      </w:r>
      <w:r w:rsidR="00D74543">
        <w:rPr>
          <w:rFonts w:ascii="Verdana" w:hAnsi="Verdana" w:cs="Arial"/>
          <w:sz w:val="24"/>
          <w:szCs w:val="24"/>
        </w:rPr>
        <w:t xml:space="preserve"> a pitiful</w:t>
      </w:r>
      <w:r>
        <w:rPr>
          <w:rFonts w:ascii="Verdana" w:hAnsi="Verdana" w:cs="Arial"/>
          <w:sz w:val="24"/>
          <w:szCs w:val="24"/>
        </w:rPr>
        <w:t xml:space="preserve"> $(199).</w:t>
      </w:r>
    </w:p>
    <w:p w:rsidR="00F7195B" w:rsidRPr="00F7195B" w:rsidRDefault="00F7195B" w:rsidP="00725204">
      <w:pPr>
        <w:spacing w:after="0" w:line="240" w:lineRule="auto"/>
        <w:rPr>
          <w:rFonts w:ascii="Verdana" w:hAnsi="Verdana" w:cs="Arial"/>
          <w:sz w:val="24"/>
          <w:szCs w:val="24"/>
        </w:rPr>
      </w:pPr>
    </w:p>
    <w:p w:rsidR="005546A0" w:rsidRDefault="00571EAE" w:rsidP="00725204">
      <w:pPr>
        <w:spacing w:after="0" w:line="240" w:lineRule="auto"/>
        <w:rPr>
          <w:rFonts w:ascii="Verdana" w:hAnsi="Verdana" w:cs="Arial"/>
          <w:sz w:val="24"/>
          <w:szCs w:val="24"/>
        </w:rPr>
      </w:pPr>
      <w:r>
        <w:rPr>
          <w:rFonts w:ascii="Verdana" w:hAnsi="Verdana" w:cs="Arial"/>
          <w:sz w:val="24"/>
          <w:szCs w:val="24"/>
        </w:rPr>
        <w:t>Management begs us to look at consolidated segment operating income</w:t>
      </w:r>
      <w:r w:rsidR="00B04AC8">
        <w:rPr>
          <w:rFonts w:ascii="Verdana" w:hAnsi="Verdana" w:cs="Arial"/>
          <w:sz w:val="24"/>
          <w:szCs w:val="24"/>
        </w:rPr>
        <w:t xml:space="preserve">. </w:t>
      </w:r>
      <w:r>
        <w:rPr>
          <w:rFonts w:ascii="Verdana" w:hAnsi="Verdana" w:cs="Arial"/>
          <w:sz w:val="24"/>
          <w:szCs w:val="24"/>
        </w:rPr>
        <w:t xml:space="preserve"> This metric is operating income with add</w:t>
      </w:r>
      <w:r w:rsidR="003B75C2">
        <w:rPr>
          <w:rFonts w:ascii="Verdana" w:hAnsi="Verdana" w:cs="Arial"/>
          <w:sz w:val="24"/>
          <w:szCs w:val="24"/>
        </w:rPr>
        <w:t>-</w:t>
      </w:r>
      <w:r>
        <w:rPr>
          <w:rFonts w:ascii="Verdana" w:hAnsi="Verdana" w:cs="Arial"/>
          <w:sz w:val="24"/>
          <w:szCs w:val="24"/>
        </w:rPr>
        <w:t xml:space="preserve">backs for online marketing expenses, stock-based compensation, and acquisition-related expenses.  Of course, these adjustments have no economic foundation and serve only to create a </w:t>
      </w:r>
      <w:r w:rsidR="003E2F1C">
        <w:rPr>
          <w:rFonts w:ascii="Verdana" w:hAnsi="Verdana" w:cs="Arial"/>
          <w:sz w:val="24"/>
          <w:szCs w:val="24"/>
        </w:rPr>
        <w:t>value</w:t>
      </w:r>
      <w:r>
        <w:rPr>
          <w:rFonts w:ascii="Verdana" w:hAnsi="Verdana" w:cs="Arial"/>
          <w:sz w:val="24"/>
          <w:szCs w:val="24"/>
        </w:rPr>
        <w:t xml:space="preserve"> tha</w:t>
      </w:r>
      <w:r w:rsidR="00E34130">
        <w:rPr>
          <w:rFonts w:ascii="Verdana" w:hAnsi="Verdana" w:cs="Arial"/>
          <w:sz w:val="24"/>
          <w:szCs w:val="24"/>
        </w:rPr>
        <w:t>t is in the plus column.  Rational investors will ignore this nonsense and perceive that it distracts one from important numbers like net income.</w:t>
      </w:r>
    </w:p>
    <w:p w:rsidR="00E34130" w:rsidRDefault="00E34130" w:rsidP="00725204">
      <w:pPr>
        <w:spacing w:after="0" w:line="240" w:lineRule="auto"/>
        <w:rPr>
          <w:rFonts w:ascii="Verdana" w:hAnsi="Verdana" w:cs="Arial"/>
          <w:sz w:val="24"/>
          <w:szCs w:val="24"/>
        </w:rPr>
      </w:pPr>
    </w:p>
    <w:p w:rsidR="00232BA5" w:rsidRDefault="00E34130" w:rsidP="00725204">
      <w:pPr>
        <w:spacing w:after="0" w:line="240" w:lineRule="auto"/>
        <w:rPr>
          <w:rFonts w:ascii="Verdana" w:hAnsi="Verdana" w:cs="Arial"/>
          <w:sz w:val="24"/>
          <w:szCs w:val="24"/>
        </w:rPr>
      </w:pPr>
      <w:r>
        <w:rPr>
          <w:rFonts w:ascii="Verdana" w:hAnsi="Verdana" w:cs="Arial"/>
          <w:sz w:val="24"/>
          <w:szCs w:val="24"/>
        </w:rPr>
        <w:t xml:space="preserve">Managers also ask us to consider free cash flows, and normally we would, but there are two problems here.  </w:t>
      </w:r>
      <w:r w:rsidR="0090582A">
        <w:rPr>
          <w:rFonts w:ascii="Verdana" w:hAnsi="Verdana" w:cs="Arial"/>
          <w:sz w:val="24"/>
          <w:szCs w:val="24"/>
        </w:rPr>
        <w:t xml:space="preserve">The first deals with </w:t>
      </w:r>
      <w:r w:rsidR="00232BA5">
        <w:rPr>
          <w:rFonts w:ascii="Verdana" w:hAnsi="Verdana" w:cs="Arial"/>
          <w:sz w:val="24"/>
          <w:szCs w:val="24"/>
        </w:rPr>
        <w:t xml:space="preserve">the probable overstatement of </w:t>
      </w:r>
      <w:r w:rsidR="0090582A">
        <w:rPr>
          <w:rFonts w:ascii="Verdana" w:hAnsi="Verdana" w:cs="Arial"/>
          <w:sz w:val="24"/>
          <w:szCs w:val="24"/>
        </w:rPr>
        <w:t>cash from operating activities</w:t>
      </w:r>
      <w:r w:rsidR="00232BA5">
        <w:rPr>
          <w:rFonts w:ascii="Verdana" w:hAnsi="Verdana" w:cs="Arial"/>
          <w:sz w:val="24"/>
          <w:szCs w:val="24"/>
        </w:rPr>
        <w:t xml:space="preserve"> and the second concerns the stock-for-stock transaction</w:t>
      </w:r>
      <w:r w:rsidR="00357440">
        <w:rPr>
          <w:rFonts w:ascii="Verdana" w:hAnsi="Verdana" w:cs="Arial"/>
          <w:sz w:val="24"/>
          <w:szCs w:val="24"/>
        </w:rPr>
        <w:t>s</w:t>
      </w:r>
      <w:r w:rsidR="00232BA5">
        <w:rPr>
          <w:rFonts w:ascii="Verdana" w:hAnsi="Verdana" w:cs="Arial"/>
          <w:sz w:val="24"/>
          <w:szCs w:val="24"/>
        </w:rPr>
        <w:t xml:space="preserve"> when executing </w:t>
      </w:r>
      <w:r w:rsidR="00357440">
        <w:rPr>
          <w:rFonts w:ascii="Verdana" w:hAnsi="Verdana" w:cs="Arial"/>
          <w:sz w:val="24"/>
          <w:szCs w:val="24"/>
        </w:rPr>
        <w:t xml:space="preserve">most of the </w:t>
      </w:r>
      <w:r w:rsidR="00232BA5">
        <w:rPr>
          <w:rFonts w:ascii="Verdana" w:hAnsi="Verdana" w:cs="Arial"/>
          <w:sz w:val="24"/>
          <w:szCs w:val="24"/>
        </w:rPr>
        <w:t>business acquisitions.</w:t>
      </w:r>
    </w:p>
    <w:p w:rsidR="00232BA5" w:rsidRDefault="00232BA5" w:rsidP="00725204">
      <w:pPr>
        <w:spacing w:after="0" w:line="240" w:lineRule="auto"/>
        <w:rPr>
          <w:rFonts w:ascii="Verdana" w:hAnsi="Verdana" w:cs="Arial"/>
          <w:sz w:val="24"/>
          <w:szCs w:val="24"/>
        </w:rPr>
      </w:pPr>
    </w:p>
    <w:p w:rsidR="00E34130" w:rsidRDefault="00EF67FE" w:rsidP="00725204">
      <w:pPr>
        <w:spacing w:after="0" w:line="240" w:lineRule="auto"/>
        <w:rPr>
          <w:rFonts w:ascii="Verdana" w:hAnsi="Verdana" w:cs="Arial"/>
          <w:sz w:val="24"/>
          <w:szCs w:val="24"/>
        </w:rPr>
      </w:pPr>
      <w:r>
        <w:rPr>
          <w:rFonts w:ascii="Verdana" w:hAnsi="Verdana" w:cs="Arial"/>
          <w:sz w:val="24"/>
          <w:szCs w:val="24"/>
        </w:rPr>
        <w:t xml:space="preserve">Cash from operating activities equals </w:t>
      </w:r>
      <w:r w:rsidR="0090582A">
        <w:rPr>
          <w:rFonts w:ascii="Verdana" w:hAnsi="Verdana" w:cs="Arial"/>
          <w:sz w:val="24"/>
          <w:szCs w:val="24"/>
        </w:rPr>
        <w:t xml:space="preserve">net income plus or minus some noncash income statement items and adjusted for changes in </w:t>
      </w:r>
      <w:r w:rsidR="00053D91">
        <w:rPr>
          <w:rFonts w:ascii="Verdana" w:hAnsi="Verdana" w:cs="Arial"/>
          <w:sz w:val="24"/>
          <w:szCs w:val="24"/>
        </w:rPr>
        <w:t xml:space="preserve">most of </w:t>
      </w:r>
      <w:r w:rsidR="0090582A">
        <w:rPr>
          <w:rFonts w:ascii="Verdana" w:hAnsi="Verdana" w:cs="Arial"/>
          <w:sz w:val="24"/>
          <w:szCs w:val="24"/>
        </w:rPr>
        <w:t xml:space="preserve">the working capital accounts.  The problem is that none of the changes in </w:t>
      </w:r>
      <w:r w:rsidR="005F46A8">
        <w:rPr>
          <w:rFonts w:ascii="Verdana" w:hAnsi="Verdana" w:cs="Arial"/>
          <w:sz w:val="24"/>
          <w:szCs w:val="24"/>
        </w:rPr>
        <w:t xml:space="preserve">Groupon’s </w:t>
      </w:r>
      <w:r w:rsidR="0090582A">
        <w:rPr>
          <w:rFonts w:ascii="Verdana" w:hAnsi="Verdana" w:cs="Arial"/>
          <w:sz w:val="24"/>
          <w:szCs w:val="24"/>
        </w:rPr>
        <w:t xml:space="preserve"> working capital accounts correspond to their respective changes on the balance sheet.  This is almost surely the consequence of several large business acquisitions.  The purchase of items like accounts receivable and </w:t>
      </w:r>
      <w:r w:rsidR="0090582A">
        <w:rPr>
          <w:rFonts w:ascii="Verdana" w:hAnsi="Verdana" w:cs="Arial"/>
          <w:sz w:val="24"/>
          <w:szCs w:val="24"/>
        </w:rPr>
        <w:lastRenderedPageBreak/>
        <w:t>inventory is included in investing activities and not operating activities.  Therefore, cash from operati</w:t>
      </w:r>
      <w:r w:rsidR="005F46A8">
        <w:rPr>
          <w:rFonts w:ascii="Verdana" w:hAnsi="Verdana" w:cs="Arial"/>
          <w:sz w:val="24"/>
          <w:szCs w:val="24"/>
        </w:rPr>
        <w:t>ng activities</w:t>
      </w:r>
      <w:r w:rsidR="0090582A">
        <w:rPr>
          <w:rFonts w:ascii="Verdana" w:hAnsi="Verdana" w:cs="Arial"/>
          <w:sz w:val="24"/>
          <w:szCs w:val="24"/>
        </w:rPr>
        <w:t xml:space="preserve"> is biased</w:t>
      </w:r>
      <w:r w:rsidR="005F46A8">
        <w:rPr>
          <w:rFonts w:ascii="Verdana" w:hAnsi="Verdana" w:cs="Arial"/>
          <w:sz w:val="24"/>
          <w:szCs w:val="24"/>
        </w:rPr>
        <w:t xml:space="preserve"> and probably biased upward</w:t>
      </w:r>
      <w:r w:rsidR="0090582A">
        <w:rPr>
          <w:rFonts w:ascii="Verdana" w:hAnsi="Verdana" w:cs="Arial"/>
          <w:sz w:val="24"/>
          <w:szCs w:val="24"/>
        </w:rPr>
        <w:t>.</w:t>
      </w:r>
      <w:r w:rsidR="003E2F1C">
        <w:rPr>
          <w:rFonts w:ascii="Verdana" w:hAnsi="Verdana" w:cs="Arial"/>
          <w:sz w:val="24"/>
          <w:szCs w:val="24"/>
        </w:rPr>
        <w:t xml:space="preserve">  We do not know what these numbers are, so we cannot adjust for this distortion.</w:t>
      </w:r>
      <w:r w:rsidR="00053D91">
        <w:rPr>
          <w:rFonts w:ascii="Verdana" w:hAnsi="Verdana" w:cs="Arial"/>
          <w:sz w:val="24"/>
          <w:szCs w:val="24"/>
        </w:rPr>
        <w:t xml:space="preserve">  The S-1 does tell us the net working </w:t>
      </w:r>
      <w:r w:rsidR="009C0B92">
        <w:rPr>
          <w:rFonts w:ascii="Verdana" w:hAnsi="Verdana" w:cs="Arial"/>
          <w:sz w:val="24"/>
          <w:szCs w:val="24"/>
        </w:rPr>
        <w:t xml:space="preserve">capital </w:t>
      </w:r>
      <w:r w:rsidR="00053D91">
        <w:rPr>
          <w:rFonts w:ascii="Verdana" w:hAnsi="Verdana" w:cs="Arial"/>
          <w:sz w:val="24"/>
          <w:szCs w:val="24"/>
        </w:rPr>
        <w:t xml:space="preserve">purchased, but as we are unsure whether all </w:t>
      </w:r>
      <w:r w:rsidR="009C0B92">
        <w:rPr>
          <w:rFonts w:ascii="Verdana" w:hAnsi="Verdana" w:cs="Arial"/>
          <w:sz w:val="24"/>
          <w:szCs w:val="24"/>
        </w:rPr>
        <w:t xml:space="preserve">of the working capital accounts </w:t>
      </w:r>
      <w:r w:rsidR="00053D91">
        <w:rPr>
          <w:rFonts w:ascii="Verdana" w:hAnsi="Verdana" w:cs="Arial"/>
          <w:sz w:val="24"/>
          <w:szCs w:val="24"/>
        </w:rPr>
        <w:t>pertain to operations, we cannot use this figure in the adjustments.</w:t>
      </w:r>
    </w:p>
    <w:p w:rsidR="0090582A" w:rsidRDefault="0090582A" w:rsidP="00725204">
      <w:pPr>
        <w:spacing w:after="0" w:line="240" w:lineRule="auto"/>
        <w:rPr>
          <w:rFonts w:ascii="Verdana" w:hAnsi="Verdana" w:cs="Arial"/>
          <w:sz w:val="24"/>
          <w:szCs w:val="24"/>
        </w:rPr>
      </w:pPr>
    </w:p>
    <w:p w:rsidR="00DA010C" w:rsidRDefault="00E30E29" w:rsidP="00725204">
      <w:pPr>
        <w:spacing w:after="0" w:line="240" w:lineRule="auto"/>
        <w:rPr>
          <w:rFonts w:ascii="Verdana" w:hAnsi="Verdana" w:cs="Arial"/>
          <w:sz w:val="24"/>
          <w:szCs w:val="24"/>
        </w:rPr>
      </w:pPr>
      <w:r>
        <w:rPr>
          <w:rFonts w:ascii="Verdana" w:hAnsi="Verdana" w:cs="Arial"/>
          <w:sz w:val="24"/>
          <w:szCs w:val="24"/>
        </w:rPr>
        <w:t xml:space="preserve">Second, these acquisitions are mostly implemented by the issuance of stock.  A proper analysis of the cash flows </w:t>
      </w:r>
      <w:r w:rsidR="00EA12E4">
        <w:rPr>
          <w:rFonts w:ascii="Verdana" w:hAnsi="Verdana" w:cs="Arial"/>
          <w:sz w:val="24"/>
          <w:szCs w:val="24"/>
        </w:rPr>
        <w:t>requires</w:t>
      </w:r>
      <w:r>
        <w:rPr>
          <w:rFonts w:ascii="Verdana" w:hAnsi="Verdana" w:cs="Arial"/>
          <w:sz w:val="24"/>
          <w:szCs w:val="24"/>
        </w:rPr>
        <w:t xml:space="preserve"> the analyst to treat this purchase as a two-part transaction: first the corporation issues stock to finance the business purchase and then the entity employs the cash</w:t>
      </w:r>
      <w:r w:rsidR="000925D7">
        <w:rPr>
          <w:rFonts w:ascii="Verdana" w:hAnsi="Verdana" w:cs="Arial"/>
          <w:sz w:val="24"/>
          <w:szCs w:val="24"/>
        </w:rPr>
        <w:t xml:space="preserve"> garnered from the stock issuance</w:t>
      </w:r>
      <w:r>
        <w:rPr>
          <w:rFonts w:ascii="Verdana" w:hAnsi="Verdana" w:cs="Arial"/>
          <w:sz w:val="24"/>
          <w:szCs w:val="24"/>
        </w:rPr>
        <w:t xml:space="preserve"> to buy the net assets of the target company.  The issuance of stock is</w:t>
      </w:r>
      <w:r w:rsidR="00DA010C">
        <w:rPr>
          <w:rFonts w:ascii="Verdana" w:hAnsi="Verdana" w:cs="Arial"/>
          <w:sz w:val="24"/>
          <w:szCs w:val="24"/>
        </w:rPr>
        <w:t>,</w:t>
      </w:r>
      <w:r>
        <w:rPr>
          <w:rFonts w:ascii="Verdana" w:hAnsi="Verdana" w:cs="Arial"/>
          <w:sz w:val="24"/>
          <w:szCs w:val="24"/>
        </w:rPr>
        <w:t xml:space="preserve"> of course</w:t>
      </w:r>
      <w:r w:rsidR="00DA010C">
        <w:rPr>
          <w:rFonts w:ascii="Verdana" w:hAnsi="Verdana" w:cs="Arial"/>
          <w:sz w:val="24"/>
          <w:szCs w:val="24"/>
        </w:rPr>
        <w:t>, a financing transaction and the purchase of net assets is an investing transaction.  In particular, the investing transaction should be treated as a capital expenditure inasmuch as the acquirer is buying the net assets of the investee.</w:t>
      </w:r>
    </w:p>
    <w:p w:rsidR="00DA010C" w:rsidRDefault="00DA010C" w:rsidP="00725204">
      <w:pPr>
        <w:spacing w:after="0" w:line="240" w:lineRule="auto"/>
        <w:rPr>
          <w:rFonts w:ascii="Verdana" w:hAnsi="Verdana" w:cs="Arial"/>
          <w:sz w:val="24"/>
          <w:szCs w:val="24"/>
        </w:rPr>
      </w:pPr>
    </w:p>
    <w:p w:rsidR="0090582A" w:rsidRDefault="00DA010C" w:rsidP="00725204">
      <w:pPr>
        <w:spacing w:after="0" w:line="240" w:lineRule="auto"/>
        <w:rPr>
          <w:rFonts w:ascii="Verdana" w:hAnsi="Verdana" w:cs="Arial"/>
          <w:sz w:val="24"/>
          <w:szCs w:val="24"/>
        </w:rPr>
      </w:pPr>
      <w:r>
        <w:rPr>
          <w:rFonts w:ascii="Verdana" w:hAnsi="Verdana" w:cs="Arial"/>
          <w:sz w:val="24"/>
          <w:szCs w:val="24"/>
        </w:rPr>
        <w:t>From note 3 we can estimate</w:t>
      </w:r>
      <w:r w:rsidR="003B027A">
        <w:rPr>
          <w:rFonts w:ascii="Verdana" w:hAnsi="Verdana" w:cs="Arial"/>
          <w:sz w:val="24"/>
          <w:szCs w:val="24"/>
        </w:rPr>
        <w:t xml:space="preserve"> these additional acquisition cash flows as $143.  Our estimate of free cash flows is now:</w:t>
      </w:r>
    </w:p>
    <w:p w:rsidR="003B027A" w:rsidRDefault="003B027A" w:rsidP="00725204">
      <w:pPr>
        <w:spacing w:after="0" w:line="240" w:lineRule="auto"/>
        <w:rPr>
          <w:rFonts w:ascii="Verdana" w:hAnsi="Verdana"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1620"/>
        <w:gridCol w:w="1236"/>
        <w:gridCol w:w="222"/>
      </w:tblGrid>
      <w:tr w:rsidR="00E62F83" w:rsidRPr="00E62F83" w:rsidTr="00E62F83">
        <w:tc>
          <w:tcPr>
            <w:tcW w:w="6498" w:type="dxa"/>
          </w:tcPr>
          <w:p w:rsidR="00E62F83" w:rsidRPr="00E62F83" w:rsidRDefault="00E62F83" w:rsidP="00986EA9">
            <w:pPr>
              <w:rPr>
                <w:rFonts w:ascii="Courier New" w:hAnsi="Courier New" w:cs="Courier New"/>
                <w:sz w:val="24"/>
                <w:szCs w:val="24"/>
              </w:rPr>
            </w:pPr>
            <w:r w:rsidRPr="00E62F83">
              <w:rPr>
                <w:rFonts w:ascii="Courier New" w:hAnsi="Courier New" w:cs="Courier New"/>
                <w:sz w:val="24"/>
                <w:szCs w:val="24"/>
              </w:rPr>
              <w:tab/>
              <w:t>Cash from operating activities</w:t>
            </w:r>
          </w:p>
        </w:tc>
        <w:tc>
          <w:tcPr>
            <w:tcW w:w="1620" w:type="dxa"/>
          </w:tcPr>
          <w:p w:rsidR="00E62F83" w:rsidRPr="00E62F83" w:rsidRDefault="00E62F83" w:rsidP="00E62F83">
            <w:pPr>
              <w:rPr>
                <w:rFonts w:ascii="Courier New" w:hAnsi="Courier New" w:cs="Courier New"/>
                <w:sz w:val="24"/>
                <w:szCs w:val="24"/>
              </w:rPr>
            </w:pPr>
            <w:r w:rsidRPr="00E62F83">
              <w:rPr>
                <w:rFonts w:ascii="Courier New" w:hAnsi="Courier New" w:cs="Courier New"/>
                <w:sz w:val="24"/>
                <w:szCs w:val="24"/>
              </w:rPr>
              <w:tab/>
            </w:r>
          </w:p>
        </w:tc>
        <w:tc>
          <w:tcPr>
            <w:tcW w:w="1236" w:type="dxa"/>
          </w:tcPr>
          <w:p w:rsidR="00E62F83" w:rsidRPr="00E62F83" w:rsidRDefault="00E62F83" w:rsidP="00986EA9">
            <w:pPr>
              <w:rPr>
                <w:rFonts w:ascii="Courier New" w:hAnsi="Courier New" w:cs="Courier New"/>
                <w:sz w:val="24"/>
                <w:szCs w:val="24"/>
              </w:rPr>
            </w:pPr>
            <w:r w:rsidRPr="00E62F83">
              <w:rPr>
                <w:rFonts w:ascii="Courier New" w:hAnsi="Courier New" w:cs="Courier New"/>
                <w:sz w:val="24"/>
                <w:szCs w:val="24"/>
              </w:rPr>
              <w:t>$  87</w:t>
            </w:r>
          </w:p>
        </w:tc>
        <w:tc>
          <w:tcPr>
            <w:tcW w:w="0" w:type="auto"/>
          </w:tcPr>
          <w:p w:rsidR="00E62F83" w:rsidRPr="00E62F83" w:rsidRDefault="00E62F83" w:rsidP="00986EA9">
            <w:pPr>
              <w:rPr>
                <w:rFonts w:ascii="Courier New" w:hAnsi="Courier New" w:cs="Courier New"/>
                <w:sz w:val="24"/>
                <w:szCs w:val="24"/>
              </w:rPr>
            </w:pPr>
          </w:p>
        </w:tc>
      </w:tr>
      <w:tr w:rsidR="00E62F83" w:rsidRPr="00E62F83" w:rsidTr="00E62F83">
        <w:tc>
          <w:tcPr>
            <w:tcW w:w="6498" w:type="dxa"/>
          </w:tcPr>
          <w:p w:rsidR="00E62F83" w:rsidRPr="00E62F83" w:rsidRDefault="00E62F83" w:rsidP="00986EA9">
            <w:pPr>
              <w:rPr>
                <w:rFonts w:ascii="Courier New" w:hAnsi="Courier New" w:cs="Courier New"/>
                <w:sz w:val="24"/>
                <w:szCs w:val="24"/>
              </w:rPr>
            </w:pPr>
            <w:r w:rsidRPr="00E62F83">
              <w:rPr>
                <w:rFonts w:ascii="Courier New" w:hAnsi="Courier New" w:cs="Courier New"/>
                <w:sz w:val="24"/>
                <w:szCs w:val="24"/>
              </w:rPr>
              <w:tab/>
              <w:t>Reported capital expenditures</w:t>
            </w:r>
            <w:r w:rsidRPr="00E62F83">
              <w:rPr>
                <w:rFonts w:ascii="Courier New" w:hAnsi="Courier New" w:cs="Courier New"/>
                <w:sz w:val="24"/>
                <w:szCs w:val="24"/>
              </w:rPr>
              <w:tab/>
            </w:r>
          </w:p>
        </w:tc>
        <w:tc>
          <w:tcPr>
            <w:tcW w:w="1620" w:type="dxa"/>
          </w:tcPr>
          <w:p w:rsidR="00E62F83" w:rsidRPr="00E62F83" w:rsidRDefault="00E62F83" w:rsidP="00986EA9">
            <w:pPr>
              <w:rPr>
                <w:rFonts w:ascii="Courier New" w:hAnsi="Courier New" w:cs="Courier New"/>
                <w:sz w:val="24"/>
                <w:szCs w:val="24"/>
              </w:rPr>
            </w:pPr>
            <w:r w:rsidRPr="00E62F83">
              <w:rPr>
                <w:rFonts w:ascii="Courier New" w:hAnsi="Courier New" w:cs="Courier New"/>
                <w:sz w:val="24"/>
                <w:szCs w:val="24"/>
              </w:rPr>
              <w:t xml:space="preserve">   $ </w:t>
            </w:r>
            <w:r w:rsidR="00FA42C0">
              <w:rPr>
                <w:rFonts w:ascii="Courier New" w:hAnsi="Courier New" w:cs="Courier New"/>
                <w:sz w:val="24"/>
                <w:szCs w:val="24"/>
              </w:rPr>
              <w:t xml:space="preserve"> </w:t>
            </w:r>
            <w:r w:rsidRPr="00E62F83">
              <w:rPr>
                <w:rFonts w:ascii="Courier New" w:hAnsi="Courier New" w:cs="Courier New"/>
                <w:sz w:val="24"/>
                <w:szCs w:val="24"/>
              </w:rPr>
              <w:t>15</w:t>
            </w:r>
          </w:p>
        </w:tc>
        <w:tc>
          <w:tcPr>
            <w:tcW w:w="1236" w:type="dxa"/>
          </w:tcPr>
          <w:p w:rsidR="00E62F83" w:rsidRPr="00E62F83" w:rsidRDefault="00E62F83" w:rsidP="00986EA9">
            <w:pPr>
              <w:rPr>
                <w:rFonts w:ascii="Courier New" w:hAnsi="Courier New" w:cs="Courier New"/>
                <w:sz w:val="24"/>
                <w:szCs w:val="24"/>
              </w:rPr>
            </w:pPr>
          </w:p>
        </w:tc>
        <w:tc>
          <w:tcPr>
            <w:tcW w:w="0" w:type="auto"/>
          </w:tcPr>
          <w:p w:rsidR="00E62F83" w:rsidRPr="00E62F83" w:rsidRDefault="00E62F83" w:rsidP="00986EA9">
            <w:pPr>
              <w:rPr>
                <w:rFonts w:ascii="Courier New" w:hAnsi="Courier New" w:cs="Courier New"/>
                <w:sz w:val="24"/>
                <w:szCs w:val="24"/>
              </w:rPr>
            </w:pPr>
          </w:p>
        </w:tc>
      </w:tr>
      <w:tr w:rsidR="00E62F83" w:rsidRPr="00E62F83" w:rsidTr="00E62F83">
        <w:tc>
          <w:tcPr>
            <w:tcW w:w="6498" w:type="dxa"/>
          </w:tcPr>
          <w:p w:rsidR="00E62F83" w:rsidRPr="00E62F83" w:rsidRDefault="00E62F83" w:rsidP="00986EA9">
            <w:pPr>
              <w:rPr>
                <w:rFonts w:ascii="Courier New" w:hAnsi="Courier New" w:cs="Courier New"/>
                <w:sz w:val="24"/>
                <w:szCs w:val="24"/>
              </w:rPr>
            </w:pPr>
            <w:r w:rsidRPr="00E62F83">
              <w:rPr>
                <w:rFonts w:ascii="Courier New" w:hAnsi="Courier New" w:cs="Courier New"/>
                <w:sz w:val="24"/>
                <w:szCs w:val="24"/>
              </w:rPr>
              <w:tab/>
              <w:t>Reported acquisition cash flows</w:t>
            </w:r>
          </w:p>
        </w:tc>
        <w:tc>
          <w:tcPr>
            <w:tcW w:w="1620" w:type="dxa"/>
          </w:tcPr>
          <w:p w:rsidR="00E62F83" w:rsidRPr="00E62F83" w:rsidRDefault="00E62F83" w:rsidP="00FA42C0">
            <w:pPr>
              <w:rPr>
                <w:rFonts w:ascii="Courier New" w:hAnsi="Courier New" w:cs="Courier New"/>
                <w:sz w:val="24"/>
                <w:szCs w:val="24"/>
              </w:rPr>
            </w:pPr>
            <w:r w:rsidRPr="00E62F83">
              <w:rPr>
                <w:rFonts w:ascii="Courier New" w:hAnsi="Courier New" w:cs="Courier New"/>
                <w:sz w:val="24"/>
                <w:szCs w:val="24"/>
              </w:rPr>
              <w:tab/>
            </w:r>
            <w:r w:rsidR="00FA42C0">
              <w:rPr>
                <w:rFonts w:ascii="Courier New" w:hAnsi="Courier New" w:cs="Courier New"/>
                <w:sz w:val="24"/>
                <w:szCs w:val="24"/>
              </w:rPr>
              <w:t xml:space="preserve"> </w:t>
            </w:r>
            <w:r w:rsidRPr="00E62F83">
              <w:rPr>
                <w:rFonts w:ascii="Courier New" w:hAnsi="Courier New" w:cs="Courier New"/>
                <w:sz w:val="24"/>
                <w:szCs w:val="24"/>
              </w:rPr>
              <w:t>(4)</w:t>
            </w:r>
          </w:p>
        </w:tc>
        <w:tc>
          <w:tcPr>
            <w:tcW w:w="1236" w:type="dxa"/>
          </w:tcPr>
          <w:p w:rsidR="00E62F83" w:rsidRPr="00E62F83" w:rsidRDefault="00E62F83" w:rsidP="00986EA9">
            <w:pPr>
              <w:rPr>
                <w:rFonts w:ascii="Courier New" w:hAnsi="Courier New" w:cs="Courier New"/>
                <w:sz w:val="24"/>
                <w:szCs w:val="24"/>
              </w:rPr>
            </w:pPr>
          </w:p>
        </w:tc>
        <w:tc>
          <w:tcPr>
            <w:tcW w:w="0" w:type="auto"/>
          </w:tcPr>
          <w:p w:rsidR="00E62F83" w:rsidRPr="00E62F83" w:rsidRDefault="00E62F83" w:rsidP="00986EA9">
            <w:pPr>
              <w:rPr>
                <w:rFonts w:ascii="Courier New" w:hAnsi="Courier New" w:cs="Courier New"/>
                <w:sz w:val="24"/>
                <w:szCs w:val="24"/>
              </w:rPr>
            </w:pPr>
          </w:p>
        </w:tc>
      </w:tr>
      <w:tr w:rsidR="00E62F83" w:rsidRPr="00E62F83" w:rsidTr="00E62F83">
        <w:tc>
          <w:tcPr>
            <w:tcW w:w="6498" w:type="dxa"/>
          </w:tcPr>
          <w:p w:rsidR="00E62F83" w:rsidRPr="00E62F83" w:rsidRDefault="00E62F83" w:rsidP="007D204F">
            <w:pPr>
              <w:rPr>
                <w:rFonts w:ascii="Courier New" w:hAnsi="Courier New" w:cs="Courier New"/>
                <w:sz w:val="24"/>
                <w:szCs w:val="24"/>
              </w:rPr>
            </w:pPr>
            <w:r w:rsidRPr="00E62F83">
              <w:rPr>
                <w:rFonts w:ascii="Courier New" w:hAnsi="Courier New" w:cs="Courier New"/>
                <w:sz w:val="24"/>
                <w:szCs w:val="24"/>
              </w:rPr>
              <w:tab/>
              <w:t>Adj</w:t>
            </w:r>
            <w:r w:rsidR="007D204F">
              <w:rPr>
                <w:rFonts w:ascii="Courier New" w:hAnsi="Courier New" w:cs="Courier New"/>
                <w:sz w:val="24"/>
                <w:szCs w:val="24"/>
              </w:rPr>
              <w:t>ustment</w:t>
            </w:r>
            <w:r w:rsidRPr="00E62F83">
              <w:rPr>
                <w:rFonts w:ascii="Courier New" w:hAnsi="Courier New" w:cs="Courier New"/>
                <w:sz w:val="24"/>
                <w:szCs w:val="24"/>
              </w:rPr>
              <w:t xml:space="preserve"> for additional acquisition</w:t>
            </w:r>
            <w:r w:rsidR="007D204F">
              <w:rPr>
                <w:rFonts w:ascii="Courier New" w:hAnsi="Courier New" w:cs="Courier New"/>
                <w:sz w:val="24"/>
                <w:szCs w:val="24"/>
              </w:rPr>
              <w:t xml:space="preserve"> </w:t>
            </w:r>
            <w:r w:rsidR="007D204F">
              <w:rPr>
                <w:rFonts w:ascii="Courier New" w:hAnsi="Courier New" w:cs="Courier New"/>
                <w:sz w:val="24"/>
                <w:szCs w:val="24"/>
              </w:rPr>
              <w:br/>
              <w:t xml:space="preserve">         “cash flows”</w:t>
            </w:r>
          </w:p>
        </w:tc>
        <w:tc>
          <w:tcPr>
            <w:tcW w:w="1620" w:type="dxa"/>
          </w:tcPr>
          <w:p w:rsidR="007D204F" w:rsidRDefault="007D204F" w:rsidP="00986EA9">
            <w:pPr>
              <w:rPr>
                <w:rFonts w:ascii="Courier New" w:hAnsi="Courier New" w:cs="Courier New"/>
                <w:sz w:val="24"/>
                <w:szCs w:val="24"/>
              </w:rPr>
            </w:pPr>
          </w:p>
          <w:p w:rsidR="00E62F83" w:rsidRPr="00E62F83" w:rsidRDefault="00E62F83" w:rsidP="00986EA9">
            <w:pPr>
              <w:rPr>
                <w:rFonts w:ascii="Courier New" w:hAnsi="Courier New" w:cs="Courier New"/>
                <w:sz w:val="24"/>
                <w:szCs w:val="24"/>
                <w:u w:val="single"/>
              </w:rPr>
            </w:pPr>
            <w:r w:rsidRPr="00E62F83">
              <w:rPr>
                <w:rFonts w:ascii="Courier New" w:hAnsi="Courier New" w:cs="Courier New"/>
                <w:sz w:val="24"/>
                <w:szCs w:val="24"/>
              </w:rPr>
              <w:tab/>
            </w:r>
            <w:r w:rsidRPr="00E62F83">
              <w:rPr>
                <w:rFonts w:ascii="Courier New" w:hAnsi="Courier New" w:cs="Courier New"/>
                <w:sz w:val="24"/>
                <w:szCs w:val="24"/>
                <w:u w:val="single"/>
              </w:rPr>
              <w:t>143</w:t>
            </w:r>
          </w:p>
        </w:tc>
        <w:tc>
          <w:tcPr>
            <w:tcW w:w="1236" w:type="dxa"/>
          </w:tcPr>
          <w:p w:rsidR="007D204F" w:rsidRDefault="00E62F83" w:rsidP="00986EA9">
            <w:pPr>
              <w:rPr>
                <w:rFonts w:ascii="Courier New" w:hAnsi="Courier New" w:cs="Courier New"/>
                <w:sz w:val="24"/>
                <w:szCs w:val="24"/>
              </w:rPr>
            </w:pPr>
            <w:r w:rsidRPr="00E62F83">
              <w:rPr>
                <w:rFonts w:ascii="Courier New" w:hAnsi="Courier New" w:cs="Courier New"/>
                <w:sz w:val="24"/>
                <w:szCs w:val="24"/>
              </w:rPr>
              <w:t xml:space="preserve">  </w:t>
            </w:r>
          </w:p>
          <w:p w:rsidR="00E62F83" w:rsidRPr="00E62F83" w:rsidRDefault="007D204F" w:rsidP="00986EA9">
            <w:pPr>
              <w:rPr>
                <w:rFonts w:ascii="Courier New" w:hAnsi="Courier New" w:cs="Courier New"/>
                <w:sz w:val="24"/>
                <w:szCs w:val="24"/>
                <w:u w:val="single"/>
              </w:rPr>
            </w:pPr>
            <w:r>
              <w:rPr>
                <w:rFonts w:ascii="Courier New" w:hAnsi="Courier New" w:cs="Courier New"/>
                <w:sz w:val="24"/>
                <w:szCs w:val="24"/>
                <w:u w:val="single"/>
              </w:rPr>
              <w:t xml:space="preserve">  </w:t>
            </w:r>
            <w:r w:rsidR="00E62F83" w:rsidRPr="00E62F83">
              <w:rPr>
                <w:rFonts w:ascii="Courier New" w:hAnsi="Courier New" w:cs="Courier New"/>
                <w:sz w:val="24"/>
                <w:szCs w:val="24"/>
                <w:u w:val="single"/>
              </w:rPr>
              <w:t>154</w:t>
            </w:r>
          </w:p>
        </w:tc>
        <w:tc>
          <w:tcPr>
            <w:tcW w:w="0" w:type="auto"/>
          </w:tcPr>
          <w:p w:rsidR="00E62F83" w:rsidRPr="00E62F83" w:rsidRDefault="00E62F83" w:rsidP="00986EA9">
            <w:pPr>
              <w:rPr>
                <w:rFonts w:ascii="Courier New" w:hAnsi="Courier New" w:cs="Courier New"/>
                <w:sz w:val="24"/>
                <w:szCs w:val="24"/>
                <w:u w:val="single"/>
              </w:rPr>
            </w:pPr>
          </w:p>
        </w:tc>
      </w:tr>
      <w:tr w:rsidR="00E62F83" w:rsidRPr="00E62F83" w:rsidTr="00E62F83">
        <w:tc>
          <w:tcPr>
            <w:tcW w:w="6498" w:type="dxa"/>
          </w:tcPr>
          <w:p w:rsidR="00E62F83" w:rsidRPr="00E62F83" w:rsidRDefault="00E62F83" w:rsidP="00986EA9">
            <w:pPr>
              <w:rPr>
                <w:rFonts w:ascii="Courier New" w:hAnsi="Courier New" w:cs="Courier New"/>
                <w:sz w:val="24"/>
                <w:szCs w:val="24"/>
              </w:rPr>
            </w:pPr>
            <w:r w:rsidRPr="00E62F83">
              <w:rPr>
                <w:rFonts w:ascii="Courier New" w:hAnsi="Courier New" w:cs="Courier New"/>
                <w:sz w:val="24"/>
                <w:szCs w:val="24"/>
              </w:rPr>
              <w:tab/>
            </w:r>
            <w:r w:rsidRPr="00E62F83">
              <w:rPr>
                <w:rFonts w:ascii="Courier New" w:hAnsi="Courier New" w:cs="Courier New"/>
                <w:sz w:val="24"/>
                <w:szCs w:val="24"/>
              </w:rPr>
              <w:tab/>
            </w:r>
            <w:r w:rsidR="007D204F">
              <w:rPr>
                <w:rFonts w:ascii="Courier New" w:hAnsi="Courier New" w:cs="Courier New"/>
                <w:sz w:val="24"/>
                <w:szCs w:val="24"/>
              </w:rPr>
              <w:t xml:space="preserve">      </w:t>
            </w:r>
            <w:r w:rsidRPr="00E62F83">
              <w:rPr>
                <w:rFonts w:ascii="Courier New" w:hAnsi="Courier New" w:cs="Courier New"/>
                <w:sz w:val="24"/>
                <w:szCs w:val="24"/>
              </w:rPr>
              <w:t>Free cash flows in 2010</w:t>
            </w:r>
            <w:r w:rsidRPr="00E62F83">
              <w:rPr>
                <w:rFonts w:ascii="Courier New" w:hAnsi="Courier New" w:cs="Courier New"/>
                <w:sz w:val="24"/>
                <w:szCs w:val="24"/>
              </w:rPr>
              <w:tab/>
            </w:r>
          </w:p>
        </w:tc>
        <w:tc>
          <w:tcPr>
            <w:tcW w:w="1620" w:type="dxa"/>
          </w:tcPr>
          <w:p w:rsidR="00E62F83" w:rsidRPr="00E62F83" w:rsidRDefault="00E62F83" w:rsidP="00986EA9">
            <w:pPr>
              <w:rPr>
                <w:rFonts w:ascii="Courier New" w:hAnsi="Courier New" w:cs="Courier New"/>
                <w:sz w:val="24"/>
                <w:szCs w:val="24"/>
              </w:rPr>
            </w:pPr>
          </w:p>
        </w:tc>
        <w:tc>
          <w:tcPr>
            <w:tcW w:w="1236" w:type="dxa"/>
          </w:tcPr>
          <w:p w:rsidR="00E62F83" w:rsidRPr="00E62F83" w:rsidRDefault="00E62F83" w:rsidP="00986EA9">
            <w:pPr>
              <w:rPr>
                <w:rFonts w:ascii="Courier New" w:hAnsi="Courier New" w:cs="Courier New"/>
                <w:sz w:val="24"/>
                <w:szCs w:val="24"/>
              </w:rPr>
            </w:pPr>
            <w:r w:rsidRPr="00E62F83">
              <w:rPr>
                <w:rFonts w:ascii="Courier New" w:hAnsi="Courier New" w:cs="Courier New"/>
                <w:sz w:val="24"/>
                <w:szCs w:val="24"/>
              </w:rPr>
              <w:t>$</w:t>
            </w:r>
            <w:r w:rsidRPr="00E62F83">
              <w:rPr>
                <w:rFonts w:ascii="Courier New" w:hAnsi="Courier New" w:cs="Courier New"/>
                <w:sz w:val="24"/>
                <w:szCs w:val="24"/>
                <w:u w:val="double"/>
              </w:rPr>
              <w:t xml:space="preserve"> (67)</w:t>
            </w:r>
          </w:p>
        </w:tc>
        <w:tc>
          <w:tcPr>
            <w:tcW w:w="0" w:type="auto"/>
          </w:tcPr>
          <w:p w:rsidR="00E62F83" w:rsidRPr="00E62F83" w:rsidRDefault="00E62F83" w:rsidP="00986EA9">
            <w:pPr>
              <w:rPr>
                <w:rFonts w:ascii="Courier New" w:hAnsi="Courier New" w:cs="Courier New"/>
                <w:sz w:val="24"/>
                <w:szCs w:val="24"/>
              </w:rPr>
            </w:pPr>
          </w:p>
        </w:tc>
      </w:tr>
    </w:tbl>
    <w:p w:rsidR="0090582A" w:rsidRDefault="0090582A" w:rsidP="00725204">
      <w:pPr>
        <w:spacing w:after="0" w:line="240" w:lineRule="auto"/>
        <w:rPr>
          <w:rFonts w:ascii="Verdana" w:hAnsi="Verdana" w:cs="Arial"/>
          <w:sz w:val="24"/>
          <w:szCs w:val="24"/>
        </w:rPr>
      </w:pPr>
    </w:p>
    <w:p w:rsidR="0090582A" w:rsidRDefault="00053D91" w:rsidP="00725204">
      <w:pPr>
        <w:spacing w:after="0" w:line="240" w:lineRule="auto"/>
        <w:rPr>
          <w:rFonts w:ascii="Verdana" w:hAnsi="Verdana" w:cs="Arial"/>
          <w:sz w:val="24"/>
          <w:szCs w:val="24"/>
        </w:rPr>
      </w:pPr>
      <w:r>
        <w:rPr>
          <w:rFonts w:ascii="Verdana" w:hAnsi="Verdana" w:cs="Arial"/>
          <w:sz w:val="24"/>
          <w:szCs w:val="24"/>
        </w:rPr>
        <w:t>This</w:t>
      </w:r>
      <w:r w:rsidR="005927B7">
        <w:rPr>
          <w:rFonts w:ascii="Verdana" w:hAnsi="Verdana" w:cs="Arial"/>
          <w:sz w:val="24"/>
          <w:szCs w:val="24"/>
        </w:rPr>
        <w:t xml:space="preserve"> number is still </w:t>
      </w:r>
      <w:r>
        <w:rPr>
          <w:rFonts w:ascii="Verdana" w:hAnsi="Verdana" w:cs="Arial"/>
          <w:sz w:val="24"/>
          <w:szCs w:val="24"/>
        </w:rPr>
        <w:t xml:space="preserve">distorted because we don’t have enough information about the working capital accounts purchased in the acquisitions, but this estimate is much better than management’s estimate of free cash flows. Thus, </w:t>
      </w:r>
      <w:r w:rsidR="00DA61F8">
        <w:rPr>
          <w:rFonts w:ascii="Verdana" w:hAnsi="Verdana" w:cs="Arial"/>
          <w:sz w:val="24"/>
          <w:szCs w:val="24"/>
        </w:rPr>
        <w:t xml:space="preserve">if we focus on free cash flows, they are negative and we </w:t>
      </w:r>
      <w:r>
        <w:rPr>
          <w:rFonts w:ascii="Verdana" w:hAnsi="Verdana" w:cs="Arial"/>
          <w:sz w:val="24"/>
          <w:szCs w:val="24"/>
        </w:rPr>
        <w:t>remain</w:t>
      </w:r>
      <w:r w:rsidR="00DA61F8">
        <w:rPr>
          <w:rFonts w:ascii="Verdana" w:hAnsi="Verdana" w:cs="Arial"/>
          <w:sz w:val="24"/>
          <w:szCs w:val="24"/>
        </w:rPr>
        <w:t xml:space="preserve"> unimpressed</w:t>
      </w:r>
      <w:r w:rsidR="00487394">
        <w:rPr>
          <w:rFonts w:ascii="Verdana" w:hAnsi="Verdana" w:cs="Arial"/>
          <w:sz w:val="24"/>
          <w:szCs w:val="24"/>
        </w:rPr>
        <w:t xml:space="preserve"> with Groupon’s IPO</w:t>
      </w:r>
      <w:r w:rsidR="00DA61F8">
        <w:rPr>
          <w:rFonts w:ascii="Verdana" w:hAnsi="Verdana" w:cs="Arial"/>
          <w:sz w:val="24"/>
          <w:szCs w:val="24"/>
        </w:rPr>
        <w:t>.</w:t>
      </w:r>
    </w:p>
    <w:p w:rsidR="005927B7" w:rsidRDefault="005927B7" w:rsidP="00725204">
      <w:pPr>
        <w:spacing w:after="0" w:line="240" w:lineRule="auto"/>
        <w:rPr>
          <w:rFonts w:ascii="Verdana" w:hAnsi="Verdana" w:cs="Arial"/>
          <w:sz w:val="24"/>
          <w:szCs w:val="24"/>
        </w:rPr>
      </w:pPr>
    </w:p>
    <w:p w:rsidR="005927B7" w:rsidRDefault="005927B7" w:rsidP="00725204">
      <w:pPr>
        <w:spacing w:after="0" w:line="240" w:lineRule="auto"/>
        <w:rPr>
          <w:rFonts w:ascii="Verdana" w:hAnsi="Verdana" w:cs="Arial"/>
          <w:sz w:val="24"/>
          <w:szCs w:val="24"/>
        </w:rPr>
      </w:pPr>
      <w:r>
        <w:rPr>
          <w:rFonts w:ascii="Verdana" w:hAnsi="Verdana" w:cs="Arial"/>
          <w:sz w:val="24"/>
          <w:szCs w:val="24"/>
        </w:rPr>
        <w:t>Overall, the balance sheet stinks.  The income statement reeks.  Cash flows are in the toilet.  Instead of participating in this IPO, we would rather</w:t>
      </w:r>
      <w:r w:rsidR="00B51080">
        <w:rPr>
          <w:rFonts w:ascii="Verdana" w:hAnsi="Verdana" w:cs="Arial"/>
          <w:sz w:val="24"/>
          <w:szCs w:val="24"/>
        </w:rPr>
        <w:t xml:space="preserve"> purchase lottery tickets</w:t>
      </w:r>
      <w:r>
        <w:rPr>
          <w:rFonts w:ascii="Verdana" w:hAnsi="Verdana" w:cs="Arial"/>
          <w:sz w:val="24"/>
          <w:szCs w:val="24"/>
        </w:rPr>
        <w:t>.</w:t>
      </w:r>
    </w:p>
    <w:p w:rsidR="0090582A" w:rsidRDefault="0090582A" w:rsidP="00725204">
      <w:pPr>
        <w:spacing w:after="0" w:line="240" w:lineRule="auto"/>
        <w:rPr>
          <w:rFonts w:ascii="Verdana" w:hAnsi="Verdana" w:cs="Arial"/>
          <w:sz w:val="24"/>
          <w:szCs w:val="24"/>
        </w:rPr>
      </w:pPr>
    </w:p>
    <w:p w:rsidR="002D7E72" w:rsidRDefault="002D7E72" w:rsidP="00725204">
      <w:pPr>
        <w:spacing w:after="0" w:line="240" w:lineRule="auto"/>
        <w:rPr>
          <w:rFonts w:ascii="Verdana" w:hAnsi="Verdana" w:cs="Arial"/>
          <w:sz w:val="24"/>
          <w:szCs w:val="24"/>
        </w:rPr>
      </w:pPr>
    </w:p>
    <w:p w:rsidR="002F77EF" w:rsidRPr="00732DC3" w:rsidRDefault="002F77EF" w:rsidP="002F77EF">
      <w:pPr>
        <w:pBdr>
          <w:bottom w:val="thinThickThinMediumGap" w:sz="18" w:space="0" w:color="auto"/>
        </w:pBdr>
        <w:rPr>
          <w:rFonts w:ascii="Verdana" w:hAnsi="Verdana"/>
        </w:rPr>
      </w:pPr>
    </w:p>
    <w:p w:rsidR="002F77EF" w:rsidRDefault="002F77EF" w:rsidP="002F77EF">
      <w:pPr>
        <w:pStyle w:val="BodyText"/>
        <w:spacing w:line="240" w:lineRule="auto"/>
        <w:rPr>
          <w:i/>
        </w:rPr>
      </w:pPr>
    </w:p>
    <w:p w:rsidR="002F77EF" w:rsidRPr="0052711E" w:rsidRDefault="002F77EF" w:rsidP="002F77EF">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2F77EF" w:rsidRPr="00732DC3" w:rsidRDefault="002F77EF" w:rsidP="002F77EF">
      <w:pPr>
        <w:pBdr>
          <w:bottom w:val="thinThickThinMediumGap" w:sz="18" w:space="0" w:color="auto"/>
        </w:pBdr>
        <w:rPr>
          <w:rFonts w:ascii="Verdana" w:hAnsi="Verdana"/>
        </w:rPr>
      </w:pPr>
    </w:p>
    <w:sectPr w:rsidR="002F77EF" w:rsidRPr="00732DC3" w:rsidSect="00564D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75" w:rsidRDefault="00EF1975" w:rsidP="0087771A">
      <w:pPr>
        <w:spacing w:after="0" w:line="240" w:lineRule="auto"/>
      </w:pPr>
      <w:r>
        <w:separator/>
      </w:r>
    </w:p>
  </w:endnote>
  <w:endnote w:type="continuationSeparator" w:id="0">
    <w:p w:rsidR="00EF1975" w:rsidRDefault="00EF1975" w:rsidP="0087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75" w:rsidRDefault="00EF1975" w:rsidP="0087771A">
      <w:pPr>
        <w:spacing w:after="0" w:line="240" w:lineRule="auto"/>
      </w:pPr>
      <w:r>
        <w:separator/>
      </w:r>
    </w:p>
  </w:footnote>
  <w:footnote w:type="continuationSeparator" w:id="0">
    <w:p w:rsidR="00EF1975" w:rsidRDefault="00EF1975" w:rsidP="0087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9274A"/>
    <w:rsid w:val="0002561F"/>
    <w:rsid w:val="00037151"/>
    <w:rsid w:val="000374C2"/>
    <w:rsid w:val="00041A20"/>
    <w:rsid w:val="000444FE"/>
    <w:rsid w:val="00053D91"/>
    <w:rsid w:val="00087A77"/>
    <w:rsid w:val="0009037D"/>
    <w:rsid w:val="000925D7"/>
    <w:rsid w:val="000A2A4D"/>
    <w:rsid w:val="000B3CB0"/>
    <w:rsid w:val="000C410C"/>
    <w:rsid w:val="000D61F6"/>
    <w:rsid w:val="000E64A8"/>
    <w:rsid w:val="00124A2E"/>
    <w:rsid w:val="00142EC3"/>
    <w:rsid w:val="001545B0"/>
    <w:rsid w:val="00157134"/>
    <w:rsid w:val="00191F89"/>
    <w:rsid w:val="001941B1"/>
    <w:rsid w:val="001B480F"/>
    <w:rsid w:val="001B6FD9"/>
    <w:rsid w:val="001D7C51"/>
    <w:rsid w:val="00232BA5"/>
    <w:rsid w:val="00250988"/>
    <w:rsid w:val="002518E5"/>
    <w:rsid w:val="0027695F"/>
    <w:rsid w:val="00287041"/>
    <w:rsid w:val="00290274"/>
    <w:rsid w:val="002B118A"/>
    <w:rsid w:val="002C194F"/>
    <w:rsid w:val="002D7E72"/>
    <w:rsid w:val="002E51C8"/>
    <w:rsid w:val="002E559A"/>
    <w:rsid w:val="002F452A"/>
    <w:rsid w:val="002F77EF"/>
    <w:rsid w:val="00300888"/>
    <w:rsid w:val="00357440"/>
    <w:rsid w:val="00372A98"/>
    <w:rsid w:val="003A3597"/>
    <w:rsid w:val="003B027A"/>
    <w:rsid w:val="003B75C2"/>
    <w:rsid w:val="003C1021"/>
    <w:rsid w:val="003E2F1C"/>
    <w:rsid w:val="003F3169"/>
    <w:rsid w:val="00400D64"/>
    <w:rsid w:val="00415209"/>
    <w:rsid w:val="0043621B"/>
    <w:rsid w:val="00436A57"/>
    <w:rsid w:val="00471A13"/>
    <w:rsid w:val="00487394"/>
    <w:rsid w:val="004B3312"/>
    <w:rsid w:val="004C190E"/>
    <w:rsid w:val="004E66ED"/>
    <w:rsid w:val="0050412D"/>
    <w:rsid w:val="00510D2C"/>
    <w:rsid w:val="00512EE5"/>
    <w:rsid w:val="005226DD"/>
    <w:rsid w:val="0053258B"/>
    <w:rsid w:val="005452DD"/>
    <w:rsid w:val="005472A4"/>
    <w:rsid w:val="005546A0"/>
    <w:rsid w:val="00564D7C"/>
    <w:rsid w:val="00571EAE"/>
    <w:rsid w:val="00576D07"/>
    <w:rsid w:val="0059274A"/>
    <w:rsid w:val="005927B7"/>
    <w:rsid w:val="005A2202"/>
    <w:rsid w:val="005C6509"/>
    <w:rsid w:val="005D35D1"/>
    <w:rsid w:val="005E119C"/>
    <w:rsid w:val="005E58BF"/>
    <w:rsid w:val="005F46A8"/>
    <w:rsid w:val="005F4EA3"/>
    <w:rsid w:val="006152A3"/>
    <w:rsid w:val="0062400A"/>
    <w:rsid w:val="006367A6"/>
    <w:rsid w:val="00653DB7"/>
    <w:rsid w:val="00673A9A"/>
    <w:rsid w:val="00677F9F"/>
    <w:rsid w:val="00685EEB"/>
    <w:rsid w:val="00691F26"/>
    <w:rsid w:val="006C6672"/>
    <w:rsid w:val="006E4067"/>
    <w:rsid w:val="006E5DDA"/>
    <w:rsid w:val="00704B15"/>
    <w:rsid w:val="007152C1"/>
    <w:rsid w:val="00716212"/>
    <w:rsid w:val="00725204"/>
    <w:rsid w:val="00731E49"/>
    <w:rsid w:val="00732DC3"/>
    <w:rsid w:val="0073499B"/>
    <w:rsid w:val="007364C6"/>
    <w:rsid w:val="00740169"/>
    <w:rsid w:val="00773337"/>
    <w:rsid w:val="007A44D0"/>
    <w:rsid w:val="007B0E46"/>
    <w:rsid w:val="007C73BF"/>
    <w:rsid w:val="007D204F"/>
    <w:rsid w:val="00816C16"/>
    <w:rsid w:val="00817809"/>
    <w:rsid w:val="0085663E"/>
    <w:rsid w:val="0087771A"/>
    <w:rsid w:val="00897731"/>
    <w:rsid w:val="008C45E4"/>
    <w:rsid w:val="008C64C7"/>
    <w:rsid w:val="008F54C4"/>
    <w:rsid w:val="0090582A"/>
    <w:rsid w:val="009122DE"/>
    <w:rsid w:val="009132F0"/>
    <w:rsid w:val="00920CFF"/>
    <w:rsid w:val="00963328"/>
    <w:rsid w:val="009901D9"/>
    <w:rsid w:val="00990E45"/>
    <w:rsid w:val="009A687E"/>
    <w:rsid w:val="009B549F"/>
    <w:rsid w:val="009C0B92"/>
    <w:rsid w:val="009C13DA"/>
    <w:rsid w:val="009D0DB2"/>
    <w:rsid w:val="009E094C"/>
    <w:rsid w:val="009E3476"/>
    <w:rsid w:val="009E6880"/>
    <w:rsid w:val="009F5DC2"/>
    <w:rsid w:val="00A2664F"/>
    <w:rsid w:val="00A6528A"/>
    <w:rsid w:val="00A73FAD"/>
    <w:rsid w:val="00A900AA"/>
    <w:rsid w:val="00A906FB"/>
    <w:rsid w:val="00A96DC3"/>
    <w:rsid w:val="00AA4EBC"/>
    <w:rsid w:val="00AC14B4"/>
    <w:rsid w:val="00AD0CB1"/>
    <w:rsid w:val="00AD5D19"/>
    <w:rsid w:val="00AD7661"/>
    <w:rsid w:val="00AE1286"/>
    <w:rsid w:val="00AF482C"/>
    <w:rsid w:val="00AF646D"/>
    <w:rsid w:val="00B01305"/>
    <w:rsid w:val="00B04AC8"/>
    <w:rsid w:val="00B17F94"/>
    <w:rsid w:val="00B34E6E"/>
    <w:rsid w:val="00B51080"/>
    <w:rsid w:val="00B76F93"/>
    <w:rsid w:val="00B9049E"/>
    <w:rsid w:val="00B95EC9"/>
    <w:rsid w:val="00B96DDA"/>
    <w:rsid w:val="00BB010D"/>
    <w:rsid w:val="00BB2071"/>
    <w:rsid w:val="00BE7C21"/>
    <w:rsid w:val="00C06750"/>
    <w:rsid w:val="00C1632F"/>
    <w:rsid w:val="00C2181B"/>
    <w:rsid w:val="00C23FCA"/>
    <w:rsid w:val="00C43065"/>
    <w:rsid w:val="00C5399E"/>
    <w:rsid w:val="00C561A3"/>
    <w:rsid w:val="00C62B7D"/>
    <w:rsid w:val="00CA5B0E"/>
    <w:rsid w:val="00CA5C61"/>
    <w:rsid w:val="00CB2092"/>
    <w:rsid w:val="00D00304"/>
    <w:rsid w:val="00D05785"/>
    <w:rsid w:val="00D17B3C"/>
    <w:rsid w:val="00D62403"/>
    <w:rsid w:val="00D74543"/>
    <w:rsid w:val="00D95DDC"/>
    <w:rsid w:val="00D97A87"/>
    <w:rsid w:val="00DA010C"/>
    <w:rsid w:val="00DA0188"/>
    <w:rsid w:val="00DA5F84"/>
    <w:rsid w:val="00DA61F8"/>
    <w:rsid w:val="00DF453C"/>
    <w:rsid w:val="00DF7B18"/>
    <w:rsid w:val="00E13C53"/>
    <w:rsid w:val="00E14CB8"/>
    <w:rsid w:val="00E150FC"/>
    <w:rsid w:val="00E30E29"/>
    <w:rsid w:val="00E34130"/>
    <w:rsid w:val="00E35646"/>
    <w:rsid w:val="00E62F83"/>
    <w:rsid w:val="00E65D53"/>
    <w:rsid w:val="00E72BA0"/>
    <w:rsid w:val="00EA12E4"/>
    <w:rsid w:val="00EB1F1E"/>
    <w:rsid w:val="00EB382A"/>
    <w:rsid w:val="00EC399F"/>
    <w:rsid w:val="00EC7760"/>
    <w:rsid w:val="00ED39C1"/>
    <w:rsid w:val="00EF1975"/>
    <w:rsid w:val="00EF67FE"/>
    <w:rsid w:val="00F246E6"/>
    <w:rsid w:val="00F33120"/>
    <w:rsid w:val="00F34449"/>
    <w:rsid w:val="00F64ABB"/>
    <w:rsid w:val="00F7195B"/>
    <w:rsid w:val="00F90EEB"/>
    <w:rsid w:val="00FA42C0"/>
    <w:rsid w:val="00FF0D6B"/>
    <w:rsid w:val="00FF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4A"/>
    <w:pPr>
      <w:ind w:left="720"/>
      <w:contextualSpacing/>
    </w:pPr>
  </w:style>
  <w:style w:type="paragraph" w:styleId="Header">
    <w:name w:val="header"/>
    <w:basedOn w:val="Normal"/>
    <w:link w:val="HeaderChar"/>
    <w:uiPriority w:val="99"/>
    <w:semiHidden/>
    <w:unhideWhenUsed/>
    <w:rsid w:val="0087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71A"/>
  </w:style>
  <w:style w:type="paragraph" w:styleId="Footer">
    <w:name w:val="footer"/>
    <w:basedOn w:val="Normal"/>
    <w:link w:val="FooterChar"/>
    <w:uiPriority w:val="99"/>
    <w:semiHidden/>
    <w:unhideWhenUsed/>
    <w:rsid w:val="0087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1A"/>
  </w:style>
  <w:style w:type="paragraph" w:styleId="BodyText">
    <w:name w:val="Body Text"/>
    <w:basedOn w:val="Normal"/>
    <w:link w:val="BodyTextChar"/>
    <w:rsid w:val="002F77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77EF"/>
    <w:rPr>
      <w:rFonts w:ascii="Times New Roman" w:eastAsia="Times New Roman" w:hAnsi="Times New Roman" w:cs="Times New Roman"/>
      <w:sz w:val="24"/>
      <w:szCs w:val="20"/>
    </w:rPr>
  </w:style>
  <w:style w:type="paragraph" w:styleId="BodyTextIndent">
    <w:name w:val="Body Text Indent"/>
    <w:basedOn w:val="Normal"/>
    <w:link w:val="BodyTextIndentChar"/>
    <w:rsid w:val="002F77E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F77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0E46"/>
    <w:rPr>
      <w:color w:val="0000FF" w:themeColor="hyperlink"/>
      <w:u w:val="single"/>
    </w:rPr>
  </w:style>
  <w:style w:type="table" w:styleId="TableGrid">
    <w:name w:val="Table Grid"/>
    <w:basedOn w:val="TableNormal"/>
    <w:uiPriority w:val="59"/>
    <w:rsid w:val="00E62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85C3-E6D2-4B7A-8D6A-56B67821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3</cp:revision>
  <dcterms:created xsi:type="dcterms:W3CDTF">2011-11-05T14:43:00Z</dcterms:created>
  <dcterms:modified xsi:type="dcterms:W3CDTF">2011-11-05T14:44:00Z</dcterms:modified>
</cp:coreProperties>
</file>